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9684F" w14:textId="3A73E630" w:rsidR="00461411" w:rsidRPr="001005A8" w:rsidRDefault="00461411" w:rsidP="001005A8">
      <w:pPr>
        <w:tabs>
          <w:tab w:val="center" w:pos="4323"/>
        </w:tabs>
        <w:spacing w:before="60"/>
        <w:ind w:left="-426" w:right="288"/>
        <w:rPr>
          <w:b/>
          <w:color w:val="000000"/>
          <w:lang w:val="en-GB"/>
        </w:rPr>
      </w:pPr>
      <w:r w:rsidRPr="001005A8">
        <w:rPr>
          <w:b/>
          <w:color w:val="000000"/>
          <w:lang w:val="en-GB"/>
        </w:rPr>
        <w:t>Second regular session 202</w:t>
      </w:r>
      <w:r w:rsidR="00974AA7" w:rsidRPr="001005A8">
        <w:rPr>
          <w:b/>
          <w:color w:val="000000"/>
          <w:lang w:val="en-GB"/>
        </w:rPr>
        <w:t>3</w:t>
      </w:r>
      <w:r w:rsidR="00BE22D7" w:rsidRPr="001005A8">
        <w:rPr>
          <w:b/>
          <w:color w:val="000000"/>
          <w:lang w:val="en-GB"/>
        </w:rPr>
        <w:t xml:space="preserve"> </w:t>
      </w:r>
      <w:r w:rsidR="001005A8">
        <w:rPr>
          <w:b/>
          <w:color w:val="000000"/>
          <w:lang w:val="en-GB"/>
        </w:rPr>
        <w:tab/>
      </w:r>
    </w:p>
    <w:p w14:paraId="3C138055" w14:textId="03586685" w:rsidR="00461411" w:rsidRPr="001005A8" w:rsidRDefault="00B1561B" w:rsidP="00974AA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426" w:right="1260"/>
        <w:rPr>
          <w:color w:val="000000"/>
          <w:lang w:val="en-GB"/>
        </w:rPr>
      </w:pPr>
      <w:r w:rsidRPr="001005A8">
        <w:rPr>
          <w:color w:val="000000"/>
          <w:lang w:val="en-GB"/>
        </w:rPr>
        <w:t>2</w:t>
      </w:r>
      <w:r w:rsidR="00974AA7" w:rsidRPr="001005A8">
        <w:rPr>
          <w:color w:val="000000"/>
          <w:lang w:val="en-GB"/>
        </w:rPr>
        <w:t>8</w:t>
      </w:r>
      <w:r w:rsidRPr="001005A8">
        <w:rPr>
          <w:color w:val="000000"/>
          <w:lang w:val="en-GB"/>
        </w:rPr>
        <w:t xml:space="preserve"> to </w:t>
      </w:r>
      <w:r w:rsidR="0026700F" w:rsidRPr="001005A8">
        <w:rPr>
          <w:color w:val="000000"/>
          <w:lang w:val="en-GB"/>
        </w:rPr>
        <w:t>3</w:t>
      </w:r>
      <w:r w:rsidR="00145CB0" w:rsidRPr="001005A8">
        <w:rPr>
          <w:color w:val="000000"/>
          <w:lang w:val="en-GB"/>
        </w:rPr>
        <w:t>1</w:t>
      </w:r>
      <w:r w:rsidRPr="001005A8">
        <w:rPr>
          <w:color w:val="000000"/>
          <w:lang w:val="en-GB"/>
        </w:rPr>
        <w:t xml:space="preserve"> </w:t>
      </w:r>
      <w:r w:rsidR="0026700F" w:rsidRPr="001005A8">
        <w:rPr>
          <w:color w:val="000000"/>
          <w:lang w:val="en-GB"/>
        </w:rPr>
        <w:t xml:space="preserve">August </w:t>
      </w:r>
      <w:r w:rsidR="00461411" w:rsidRPr="001005A8">
        <w:rPr>
          <w:color w:val="000000"/>
          <w:lang w:val="en-GB"/>
        </w:rPr>
        <w:t>202</w:t>
      </w:r>
      <w:r w:rsidR="00974AA7" w:rsidRPr="001005A8">
        <w:rPr>
          <w:color w:val="000000"/>
          <w:lang w:val="en-GB"/>
        </w:rPr>
        <w:t>3</w:t>
      </w:r>
      <w:r w:rsidR="00461411" w:rsidRPr="001005A8">
        <w:rPr>
          <w:color w:val="000000"/>
          <w:lang w:val="en-GB"/>
        </w:rPr>
        <w:t>, New York</w:t>
      </w:r>
    </w:p>
    <w:p w14:paraId="532F0A5B" w14:textId="1A5E8B18" w:rsidR="00461411" w:rsidRPr="001005A8" w:rsidRDefault="00461411" w:rsidP="00974AA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426" w:right="1260"/>
        <w:rPr>
          <w:color w:val="000000"/>
          <w:lang w:val="en-GB"/>
        </w:rPr>
      </w:pPr>
      <w:r w:rsidRPr="001005A8">
        <w:rPr>
          <w:color w:val="000000"/>
          <w:lang w:val="en-GB"/>
        </w:rPr>
        <w:t xml:space="preserve">Item </w:t>
      </w:r>
      <w:r w:rsidR="00145CB0" w:rsidRPr="001005A8">
        <w:rPr>
          <w:color w:val="000000"/>
          <w:lang w:val="en-GB"/>
        </w:rPr>
        <w:t>3</w:t>
      </w:r>
      <w:r w:rsidRPr="001005A8">
        <w:rPr>
          <w:color w:val="000000"/>
          <w:lang w:val="en-GB"/>
        </w:rPr>
        <w:t xml:space="preserve"> of the provisional agenda</w:t>
      </w:r>
    </w:p>
    <w:p w14:paraId="4EAD17DB" w14:textId="77777777" w:rsidR="00461411" w:rsidRPr="001005A8" w:rsidRDefault="00461411" w:rsidP="00974AA7">
      <w:pPr>
        <w:ind w:left="-426" w:right="1260"/>
        <w:rPr>
          <w:b/>
          <w:color w:val="000000"/>
          <w:lang w:val="en-GB"/>
        </w:rPr>
      </w:pPr>
      <w:r w:rsidRPr="001005A8">
        <w:rPr>
          <w:b/>
          <w:color w:val="000000"/>
          <w:lang w:val="en-GB"/>
        </w:rPr>
        <w:t>Country programmes and related matters</w:t>
      </w:r>
    </w:p>
    <w:p w14:paraId="6178FB62" w14:textId="77777777" w:rsidR="00461411" w:rsidRPr="001005A8" w:rsidRDefault="00461411" w:rsidP="00461411">
      <w:pPr>
        <w:jc w:val="both"/>
        <w:rPr>
          <w:b/>
          <w:lang w:val="en-GB"/>
        </w:rPr>
      </w:pPr>
    </w:p>
    <w:p w14:paraId="7950BBBC" w14:textId="77777777" w:rsidR="00461411" w:rsidRPr="001005A8" w:rsidRDefault="00461411" w:rsidP="00461411">
      <w:pPr>
        <w:keepNext/>
        <w:keepLines/>
        <w:pBdr>
          <w:top w:val="nil"/>
          <w:left w:val="nil"/>
          <w:bottom w:val="nil"/>
          <w:right w:val="nil"/>
          <w:between w:val="nil"/>
        </w:pBd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auto"/>
        <w:ind w:left="1267" w:right="1260" w:hanging="1267"/>
        <w:rPr>
          <w:b/>
          <w:sz w:val="28"/>
          <w:szCs w:val="28"/>
          <w:lang w:val="en-GB"/>
        </w:rPr>
      </w:pPr>
    </w:p>
    <w:p w14:paraId="293F1309" w14:textId="12E78099" w:rsidR="00461411" w:rsidRPr="001005A8" w:rsidRDefault="00461411" w:rsidP="00461411">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jc w:val="center"/>
        <w:outlineLvl w:val="0"/>
        <w:rPr>
          <w:color w:val="000000"/>
          <w:kern w:val="14"/>
          <w:sz w:val="28"/>
          <w:lang w:val="en-GB" w:eastAsia="fr-FR"/>
        </w:rPr>
      </w:pPr>
      <w:r w:rsidRPr="001005A8">
        <w:rPr>
          <w:b/>
          <w:sz w:val="28"/>
          <w:szCs w:val="28"/>
          <w:lang w:val="en-GB"/>
        </w:rPr>
        <w:t xml:space="preserve">Draft country programme document for </w:t>
      </w:r>
      <w:r w:rsidR="00974AA7" w:rsidRPr="001005A8">
        <w:rPr>
          <w:b/>
          <w:sz w:val="28"/>
          <w:szCs w:val="28"/>
          <w:lang w:val="en-GB"/>
        </w:rPr>
        <w:t xml:space="preserve">Angola </w:t>
      </w:r>
      <w:r w:rsidRPr="001005A8">
        <w:rPr>
          <w:b/>
          <w:sz w:val="28"/>
          <w:szCs w:val="28"/>
          <w:lang w:val="en-GB"/>
        </w:rPr>
        <w:t>(202</w:t>
      </w:r>
      <w:r w:rsidR="00974AA7" w:rsidRPr="001005A8">
        <w:rPr>
          <w:b/>
          <w:sz w:val="28"/>
          <w:szCs w:val="28"/>
          <w:lang w:val="en-GB"/>
        </w:rPr>
        <w:t>4</w:t>
      </w:r>
      <w:r w:rsidRPr="001005A8">
        <w:rPr>
          <w:b/>
          <w:sz w:val="28"/>
          <w:szCs w:val="28"/>
          <w:lang w:val="en-GB"/>
        </w:rPr>
        <w:t>-202</w:t>
      </w:r>
      <w:r w:rsidR="00974AA7" w:rsidRPr="001005A8">
        <w:rPr>
          <w:b/>
          <w:sz w:val="28"/>
          <w:szCs w:val="28"/>
          <w:lang w:val="en-GB"/>
        </w:rPr>
        <w:t>8</w:t>
      </w:r>
      <w:r w:rsidRPr="001005A8">
        <w:rPr>
          <w:b/>
          <w:sz w:val="28"/>
          <w:szCs w:val="28"/>
          <w:lang w:val="en-GB"/>
        </w:rPr>
        <w:t>)</w:t>
      </w:r>
      <w:r w:rsidRPr="001005A8">
        <w:rPr>
          <w:b/>
          <w:sz w:val="28"/>
          <w:szCs w:val="28"/>
          <w:lang w:val="en-GB"/>
        </w:rPr>
        <w:br/>
      </w:r>
    </w:p>
    <w:p w14:paraId="73C9FDEF" w14:textId="77777777" w:rsidR="00461411" w:rsidRPr="001005A8" w:rsidRDefault="00461411" w:rsidP="00461411">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left="720" w:right="328"/>
        <w:outlineLvl w:val="0"/>
        <w:rPr>
          <w:color w:val="000000"/>
          <w:kern w:val="14"/>
          <w:sz w:val="28"/>
          <w:lang w:val="en-GB" w:eastAsia="fr-FR"/>
        </w:rPr>
      </w:pPr>
    </w:p>
    <w:p w14:paraId="271FA679" w14:textId="77777777" w:rsidR="00461411" w:rsidRPr="001005A8" w:rsidRDefault="00461411" w:rsidP="00461411">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lang w:val="en-GB" w:eastAsia="fr-FR"/>
        </w:rPr>
      </w:pPr>
      <w:r w:rsidRPr="001005A8">
        <w:rPr>
          <w:color w:val="000000"/>
          <w:kern w:val="14"/>
          <w:sz w:val="28"/>
          <w:lang w:val="en-GB"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260"/>
        <w:gridCol w:w="8109"/>
        <w:gridCol w:w="171"/>
        <w:gridCol w:w="362"/>
      </w:tblGrid>
      <w:tr w:rsidR="00461411" w:rsidRPr="001005A8" w14:paraId="06110C97" w14:textId="77777777" w:rsidTr="00B9471B">
        <w:tc>
          <w:tcPr>
            <w:tcW w:w="1260" w:type="dxa"/>
            <w:shd w:val="clear" w:color="auto" w:fill="auto"/>
          </w:tcPr>
          <w:p w14:paraId="0442321F" w14:textId="77777777" w:rsidR="00461411" w:rsidRPr="001005A8" w:rsidRDefault="00461411" w:rsidP="00B9471B">
            <w:pPr>
              <w:tabs>
                <w:tab w:val="left" w:pos="1620"/>
              </w:tabs>
              <w:suppressAutoHyphens/>
              <w:spacing w:after="120"/>
              <w:jc w:val="right"/>
              <w:rPr>
                <w:i/>
                <w:color w:val="000000"/>
                <w:spacing w:val="4"/>
                <w:w w:val="103"/>
                <w:kern w:val="14"/>
                <w:sz w:val="14"/>
                <w:lang w:val="en-GB" w:eastAsia="fr-FR"/>
              </w:rPr>
            </w:pPr>
            <w:r w:rsidRPr="001005A8">
              <w:rPr>
                <w:i/>
                <w:color w:val="000000"/>
                <w:spacing w:val="4"/>
                <w:w w:val="103"/>
                <w:kern w:val="14"/>
                <w:sz w:val="14"/>
                <w:lang w:val="en-GB" w:eastAsia="fr-FR"/>
              </w:rPr>
              <w:t>Chapter</w:t>
            </w:r>
          </w:p>
        </w:tc>
        <w:tc>
          <w:tcPr>
            <w:tcW w:w="8280" w:type="dxa"/>
            <w:gridSpan w:val="2"/>
            <w:shd w:val="clear" w:color="auto" w:fill="auto"/>
          </w:tcPr>
          <w:p w14:paraId="7A8991A5" w14:textId="77777777" w:rsidR="00461411" w:rsidRPr="001005A8" w:rsidRDefault="00461411" w:rsidP="00B9471B">
            <w:pPr>
              <w:tabs>
                <w:tab w:val="left" w:pos="1620"/>
              </w:tabs>
              <w:suppressAutoHyphens/>
              <w:spacing w:after="120"/>
              <w:rPr>
                <w:i/>
                <w:color w:val="000000"/>
                <w:spacing w:val="4"/>
                <w:w w:val="103"/>
                <w:kern w:val="14"/>
                <w:sz w:val="14"/>
                <w:lang w:val="en-GB" w:eastAsia="fr-FR"/>
              </w:rPr>
            </w:pPr>
          </w:p>
        </w:tc>
        <w:tc>
          <w:tcPr>
            <w:tcW w:w="362" w:type="dxa"/>
            <w:shd w:val="clear" w:color="auto" w:fill="auto"/>
          </w:tcPr>
          <w:p w14:paraId="0AA5649A" w14:textId="77777777" w:rsidR="00461411" w:rsidRPr="001005A8" w:rsidRDefault="00461411" w:rsidP="00B9471B">
            <w:pPr>
              <w:tabs>
                <w:tab w:val="left" w:pos="1620"/>
              </w:tabs>
              <w:suppressAutoHyphens/>
              <w:spacing w:after="120"/>
              <w:jc w:val="right"/>
              <w:rPr>
                <w:i/>
                <w:color w:val="000000"/>
                <w:spacing w:val="4"/>
                <w:w w:val="103"/>
                <w:kern w:val="14"/>
                <w:sz w:val="14"/>
                <w:lang w:val="en-GB" w:eastAsia="fr-FR"/>
              </w:rPr>
            </w:pPr>
            <w:r w:rsidRPr="001005A8">
              <w:rPr>
                <w:i/>
                <w:iCs/>
                <w:color w:val="000000"/>
                <w:kern w:val="14"/>
                <w:sz w:val="14"/>
                <w:lang w:val="en-GB" w:eastAsia="fr-FR"/>
              </w:rPr>
              <w:t>Page</w:t>
            </w:r>
          </w:p>
        </w:tc>
      </w:tr>
      <w:tr w:rsidR="00461411" w:rsidRPr="001005A8" w14:paraId="196D92D0" w14:textId="77777777" w:rsidTr="00B9471B">
        <w:tc>
          <w:tcPr>
            <w:tcW w:w="9540" w:type="dxa"/>
            <w:gridSpan w:val="3"/>
            <w:shd w:val="clear" w:color="auto" w:fill="auto"/>
          </w:tcPr>
          <w:p w14:paraId="571CA983" w14:textId="77777777" w:rsidR="00461411" w:rsidRPr="001005A8" w:rsidRDefault="00461411" w:rsidP="0004265D">
            <w:pPr>
              <w:numPr>
                <w:ilvl w:val="0"/>
                <w:numId w:val="4"/>
              </w:numPr>
              <w:tabs>
                <w:tab w:val="right" w:pos="1080"/>
                <w:tab w:val="left" w:pos="1296"/>
                <w:tab w:val="left" w:pos="1620"/>
                <w:tab w:val="left" w:pos="2160"/>
                <w:tab w:val="left" w:pos="2592"/>
                <w:tab w:val="right" w:leader="dot" w:pos="9090"/>
              </w:tabs>
              <w:suppressAutoHyphens/>
              <w:spacing w:after="120" w:line="240" w:lineRule="exact"/>
              <w:jc w:val="both"/>
              <w:rPr>
                <w:color w:val="000000"/>
                <w:spacing w:val="4"/>
                <w:w w:val="103"/>
                <w:kern w:val="14"/>
                <w:lang w:val="en-GB" w:eastAsia="fr-FR"/>
              </w:rPr>
            </w:pPr>
            <w:r w:rsidRPr="001005A8">
              <w:rPr>
                <w:color w:val="000000"/>
                <w:kern w:val="14"/>
                <w:lang w:val="en-GB" w:eastAsia="fr-FR"/>
              </w:rPr>
              <w:tab/>
              <w:t xml:space="preserve">UNDP within the </w:t>
            </w:r>
            <w:bookmarkStart w:id="0" w:name="_Hlk102471570"/>
            <w:r w:rsidRPr="001005A8">
              <w:rPr>
                <w:color w:val="000000"/>
                <w:kern w:val="14"/>
                <w:lang w:val="en-GB" w:eastAsia="fr-FR"/>
              </w:rPr>
              <w:t>United Nations Sustainable Development Cooperation Framework</w:t>
            </w:r>
            <w:bookmarkEnd w:id="0"/>
            <w:r w:rsidRPr="001005A8">
              <w:rPr>
                <w:color w:val="000000"/>
                <w:sz w:val="24"/>
                <w:szCs w:val="24"/>
                <w:lang w:val="en-GB" w:eastAsia="fr-FR"/>
              </w:rPr>
              <w:tab/>
            </w:r>
          </w:p>
        </w:tc>
        <w:tc>
          <w:tcPr>
            <w:tcW w:w="362" w:type="dxa"/>
            <w:vMerge w:val="restart"/>
            <w:shd w:val="clear" w:color="auto" w:fill="auto"/>
            <w:vAlign w:val="bottom"/>
          </w:tcPr>
          <w:p w14:paraId="019FEA53" w14:textId="77777777" w:rsidR="00461411" w:rsidRPr="001005A8" w:rsidRDefault="00461411" w:rsidP="00B9471B">
            <w:pPr>
              <w:tabs>
                <w:tab w:val="left" w:pos="1620"/>
              </w:tabs>
              <w:suppressAutoHyphens/>
              <w:spacing w:after="120" w:line="240" w:lineRule="exact"/>
              <w:jc w:val="right"/>
              <w:rPr>
                <w:color w:val="000000"/>
                <w:spacing w:val="4"/>
                <w:w w:val="103"/>
                <w:kern w:val="14"/>
                <w:lang w:val="en-GB" w:eastAsia="fr-FR"/>
              </w:rPr>
            </w:pPr>
            <w:r w:rsidRPr="001005A8">
              <w:rPr>
                <w:color w:val="000000"/>
                <w:kern w:val="14"/>
                <w:lang w:val="en-GB" w:eastAsia="fr-FR"/>
              </w:rPr>
              <w:t>2</w:t>
            </w:r>
          </w:p>
          <w:p w14:paraId="6EED1C8F" w14:textId="295726DE" w:rsidR="00461411" w:rsidRPr="001005A8" w:rsidRDefault="001005A8" w:rsidP="00B9471B">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4</w:t>
            </w:r>
          </w:p>
        </w:tc>
      </w:tr>
      <w:tr w:rsidR="00461411" w:rsidRPr="001005A8" w14:paraId="59501F8B" w14:textId="77777777" w:rsidTr="00B9471B">
        <w:tc>
          <w:tcPr>
            <w:tcW w:w="9540" w:type="dxa"/>
            <w:gridSpan w:val="3"/>
            <w:shd w:val="clear" w:color="auto" w:fill="auto"/>
          </w:tcPr>
          <w:p w14:paraId="1BA5F421" w14:textId="77777777" w:rsidR="00461411" w:rsidRPr="001005A8" w:rsidRDefault="00461411" w:rsidP="0004265D">
            <w:pPr>
              <w:numPr>
                <w:ilvl w:val="0"/>
                <w:numId w:val="4"/>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lang w:val="en-GB" w:eastAsia="fr-FR"/>
              </w:rPr>
            </w:pPr>
            <w:r w:rsidRPr="001005A8">
              <w:rPr>
                <w:color w:val="000000"/>
                <w:kern w:val="14"/>
                <w:lang w:val="en-GB" w:eastAsia="fr-FR"/>
              </w:rPr>
              <w:tab/>
              <w:t>Programme priorities and partnerships</w:t>
            </w:r>
            <w:r w:rsidRPr="001005A8">
              <w:rPr>
                <w:color w:val="000000"/>
                <w:lang w:val="en-GB" w:eastAsia="fr-FR"/>
              </w:rPr>
              <w:t>………………………………………………….</w:t>
            </w:r>
            <w:r w:rsidRPr="001005A8">
              <w:rPr>
                <w:color w:val="000000"/>
                <w:lang w:val="en-GB" w:eastAsia="fr-FR"/>
              </w:rPr>
              <w:tab/>
              <w:t>……….…</w:t>
            </w:r>
          </w:p>
        </w:tc>
        <w:tc>
          <w:tcPr>
            <w:tcW w:w="362" w:type="dxa"/>
            <w:vMerge/>
            <w:shd w:val="clear" w:color="auto" w:fill="auto"/>
            <w:vAlign w:val="bottom"/>
          </w:tcPr>
          <w:p w14:paraId="4893632A" w14:textId="77777777" w:rsidR="00461411" w:rsidRPr="001005A8" w:rsidRDefault="00461411" w:rsidP="00B9471B">
            <w:pPr>
              <w:tabs>
                <w:tab w:val="left" w:pos="1620"/>
              </w:tabs>
              <w:suppressAutoHyphens/>
              <w:spacing w:after="120" w:line="240" w:lineRule="exact"/>
              <w:jc w:val="right"/>
              <w:rPr>
                <w:color w:val="000000"/>
                <w:spacing w:val="4"/>
                <w:w w:val="103"/>
                <w:kern w:val="14"/>
                <w:lang w:val="en-GB" w:eastAsia="fr-FR"/>
              </w:rPr>
            </w:pPr>
          </w:p>
        </w:tc>
      </w:tr>
      <w:tr w:rsidR="00461411" w:rsidRPr="001005A8" w14:paraId="5E92E0F3" w14:textId="77777777" w:rsidTr="00B9471B">
        <w:tc>
          <w:tcPr>
            <w:tcW w:w="9540" w:type="dxa"/>
            <w:gridSpan w:val="3"/>
            <w:shd w:val="clear" w:color="auto" w:fill="auto"/>
          </w:tcPr>
          <w:p w14:paraId="71D6F6CD" w14:textId="77777777" w:rsidR="00461411" w:rsidRPr="001005A8" w:rsidRDefault="00461411" w:rsidP="0004265D">
            <w:pPr>
              <w:numPr>
                <w:ilvl w:val="0"/>
                <w:numId w:val="4"/>
              </w:numPr>
              <w:tabs>
                <w:tab w:val="right" w:pos="1080"/>
                <w:tab w:val="left" w:pos="1296"/>
                <w:tab w:val="left" w:pos="1620"/>
                <w:tab w:val="left" w:pos="2160"/>
                <w:tab w:val="left" w:pos="2592"/>
                <w:tab w:val="left" w:pos="3024"/>
                <w:tab w:val="right" w:leader="dot" w:pos="9090"/>
              </w:tabs>
              <w:suppressAutoHyphens/>
              <w:spacing w:after="120" w:line="240" w:lineRule="exact"/>
              <w:jc w:val="both"/>
              <w:rPr>
                <w:color w:val="000000"/>
                <w:spacing w:val="4"/>
                <w:w w:val="103"/>
                <w:kern w:val="14"/>
                <w:lang w:val="en-GB" w:eastAsia="fr-FR"/>
              </w:rPr>
            </w:pPr>
            <w:r w:rsidRPr="001005A8">
              <w:rPr>
                <w:color w:val="000000"/>
                <w:kern w:val="14"/>
                <w:lang w:val="en-GB" w:eastAsia="fr-FR"/>
              </w:rPr>
              <w:tab/>
              <w:t xml:space="preserve">Programme and risk management </w:t>
            </w:r>
            <w:r w:rsidRPr="001005A8">
              <w:rPr>
                <w:color w:val="000000"/>
                <w:lang w:val="en-GB" w:eastAsia="fr-FR"/>
              </w:rPr>
              <w:t>……………………………………………….…………………</w:t>
            </w:r>
          </w:p>
        </w:tc>
        <w:tc>
          <w:tcPr>
            <w:tcW w:w="362" w:type="dxa"/>
            <w:vMerge w:val="restart"/>
            <w:shd w:val="clear" w:color="auto" w:fill="auto"/>
            <w:vAlign w:val="bottom"/>
          </w:tcPr>
          <w:p w14:paraId="5EC71879" w14:textId="6B413B76" w:rsidR="00461411" w:rsidRPr="001005A8" w:rsidRDefault="00187BA9" w:rsidP="00B9471B">
            <w:pPr>
              <w:tabs>
                <w:tab w:val="left" w:pos="1620"/>
              </w:tabs>
              <w:suppressAutoHyphens/>
              <w:spacing w:after="120" w:line="240" w:lineRule="exact"/>
              <w:jc w:val="right"/>
              <w:rPr>
                <w:color w:val="000000"/>
                <w:spacing w:val="4"/>
                <w:w w:val="103"/>
                <w:kern w:val="14"/>
                <w:lang w:val="en-GB" w:eastAsia="fr-FR"/>
              </w:rPr>
            </w:pPr>
            <w:r w:rsidRPr="001005A8">
              <w:rPr>
                <w:color w:val="000000"/>
                <w:spacing w:val="4"/>
                <w:w w:val="103"/>
                <w:kern w:val="14"/>
                <w:lang w:val="en-GB" w:eastAsia="fr-FR"/>
              </w:rPr>
              <w:t>7</w:t>
            </w:r>
          </w:p>
          <w:p w14:paraId="1702B97E" w14:textId="7A1A05B7" w:rsidR="00461411" w:rsidRPr="001005A8" w:rsidRDefault="001005A8" w:rsidP="00B9471B">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8</w:t>
            </w:r>
          </w:p>
        </w:tc>
      </w:tr>
      <w:tr w:rsidR="00461411" w:rsidRPr="001005A8" w14:paraId="77201C49" w14:textId="77777777" w:rsidTr="00B9471B">
        <w:tc>
          <w:tcPr>
            <w:tcW w:w="9540" w:type="dxa"/>
            <w:gridSpan w:val="3"/>
            <w:shd w:val="clear" w:color="auto" w:fill="auto"/>
          </w:tcPr>
          <w:p w14:paraId="43CCC3BC" w14:textId="77777777" w:rsidR="00461411" w:rsidRPr="001005A8" w:rsidRDefault="00461411" w:rsidP="0004265D">
            <w:pPr>
              <w:numPr>
                <w:ilvl w:val="0"/>
                <w:numId w:val="4"/>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lang w:val="en-GB" w:eastAsia="fr-FR"/>
              </w:rPr>
            </w:pPr>
            <w:r w:rsidRPr="001005A8">
              <w:rPr>
                <w:color w:val="000000"/>
                <w:kern w:val="14"/>
                <w:lang w:val="en-GB" w:eastAsia="fr-FR"/>
              </w:rPr>
              <w:tab/>
              <w:t>Monitoring and evaluation</w:t>
            </w:r>
            <w:r w:rsidRPr="001005A8">
              <w:rPr>
                <w:color w:val="000000"/>
                <w:sz w:val="24"/>
                <w:szCs w:val="24"/>
                <w:lang w:val="en-GB" w:eastAsia="fr-FR"/>
              </w:rPr>
              <w:tab/>
            </w:r>
            <w:r w:rsidRPr="001005A8">
              <w:rPr>
                <w:color w:val="000000"/>
                <w:lang w:val="en-GB" w:eastAsia="fr-FR"/>
              </w:rPr>
              <w:t>…………………………………………………….……………………</w:t>
            </w:r>
          </w:p>
        </w:tc>
        <w:tc>
          <w:tcPr>
            <w:tcW w:w="362" w:type="dxa"/>
            <w:vMerge/>
            <w:shd w:val="clear" w:color="auto" w:fill="auto"/>
            <w:vAlign w:val="bottom"/>
          </w:tcPr>
          <w:p w14:paraId="217DEDFF" w14:textId="77777777" w:rsidR="00461411" w:rsidRPr="001005A8" w:rsidRDefault="00461411" w:rsidP="00B9471B">
            <w:pPr>
              <w:tabs>
                <w:tab w:val="left" w:pos="1620"/>
              </w:tabs>
              <w:suppressAutoHyphens/>
              <w:spacing w:after="120" w:line="240" w:lineRule="exact"/>
              <w:jc w:val="right"/>
              <w:rPr>
                <w:color w:val="000000"/>
                <w:spacing w:val="4"/>
                <w:w w:val="103"/>
                <w:kern w:val="14"/>
                <w:lang w:val="en-GB" w:eastAsia="fr-FR"/>
              </w:rPr>
            </w:pPr>
          </w:p>
        </w:tc>
      </w:tr>
      <w:tr w:rsidR="00461411" w:rsidRPr="001005A8" w14:paraId="6D51F709" w14:textId="77777777" w:rsidTr="00B9471B">
        <w:tc>
          <w:tcPr>
            <w:tcW w:w="9369" w:type="dxa"/>
            <w:gridSpan w:val="2"/>
            <w:shd w:val="clear" w:color="auto" w:fill="auto"/>
          </w:tcPr>
          <w:p w14:paraId="25EA15C1" w14:textId="77777777" w:rsidR="00461411" w:rsidRPr="001005A8" w:rsidRDefault="00461411" w:rsidP="00B9471B">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color w:val="000000"/>
                <w:spacing w:val="4"/>
                <w:w w:val="103"/>
                <w:kern w:val="14"/>
                <w:lang w:val="en-GB" w:eastAsia="fr-FR"/>
              </w:rPr>
            </w:pPr>
            <w:r w:rsidRPr="001005A8">
              <w:rPr>
                <w:color w:val="000000"/>
                <w:kern w:val="14"/>
                <w:lang w:val="en-GB" w:eastAsia="fr-FR"/>
              </w:rPr>
              <w:t>Annex</w:t>
            </w:r>
          </w:p>
        </w:tc>
        <w:tc>
          <w:tcPr>
            <w:tcW w:w="533" w:type="dxa"/>
            <w:gridSpan w:val="2"/>
            <w:shd w:val="clear" w:color="auto" w:fill="auto"/>
            <w:vAlign w:val="bottom"/>
          </w:tcPr>
          <w:p w14:paraId="2051630F" w14:textId="77777777" w:rsidR="00461411" w:rsidRPr="001005A8" w:rsidRDefault="00461411" w:rsidP="00B9471B">
            <w:pPr>
              <w:tabs>
                <w:tab w:val="left" w:pos="1620"/>
              </w:tabs>
              <w:suppressAutoHyphens/>
              <w:spacing w:after="120" w:line="240" w:lineRule="exact"/>
              <w:jc w:val="right"/>
              <w:rPr>
                <w:color w:val="000000"/>
                <w:spacing w:val="4"/>
                <w:w w:val="103"/>
                <w:kern w:val="14"/>
                <w:lang w:val="en-GB" w:eastAsia="fr-FR"/>
              </w:rPr>
            </w:pPr>
          </w:p>
        </w:tc>
      </w:tr>
      <w:tr w:rsidR="00461411" w:rsidRPr="001005A8" w14:paraId="230CA8A9" w14:textId="77777777" w:rsidTr="00B9471B">
        <w:tc>
          <w:tcPr>
            <w:tcW w:w="9369" w:type="dxa"/>
            <w:gridSpan w:val="2"/>
            <w:shd w:val="clear" w:color="auto" w:fill="auto"/>
          </w:tcPr>
          <w:p w14:paraId="7C7F0422" w14:textId="6BF98DFE" w:rsidR="00461411" w:rsidRPr="001005A8" w:rsidRDefault="00461411" w:rsidP="00B9471B">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490"/>
                <w:tab w:val="left" w:pos="5580"/>
                <w:tab w:val="left" w:pos="5616"/>
                <w:tab w:val="right" w:leader="dot" w:pos="9360"/>
              </w:tabs>
              <w:suppressAutoHyphens/>
              <w:spacing w:after="120" w:line="240" w:lineRule="exact"/>
              <w:ind w:left="1296"/>
              <w:rPr>
                <w:color w:val="000000"/>
                <w:spacing w:val="60"/>
                <w:w w:val="103"/>
                <w:kern w:val="14"/>
                <w:sz w:val="17"/>
                <w:lang w:val="en-GB" w:eastAsia="fr-FR"/>
              </w:rPr>
            </w:pPr>
            <w:r w:rsidRPr="001005A8">
              <w:rPr>
                <w:color w:val="000000"/>
                <w:kern w:val="14"/>
                <w:lang w:val="en-GB" w:eastAsia="fr-FR"/>
              </w:rPr>
              <w:t xml:space="preserve">Results and resources framework for </w:t>
            </w:r>
            <w:r w:rsidR="00974AA7" w:rsidRPr="001005A8">
              <w:rPr>
                <w:color w:val="000000"/>
                <w:kern w:val="14"/>
                <w:lang w:val="en-GB" w:eastAsia="fr-FR"/>
              </w:rPr>
              <w:t>Angola</w:t>
            </w:r>
            <w:r w:rsidRPr="001005A8">
              <w:rPr>
                <w:color w:val="000000"/>
                <w:kern w:val="14"/>
                <w:lang w:val="en-GB" w:eastAsia="fr-FR"/>
              </w:rPr>
              <w:t xml:space="preserve"> (202</w:t>
            </w:r>
            <w:r w:rsidR="00974AA7" w:rsidRPr="001005A8">
              <w:rPr>
                <w:color w:val="000000"/>
                <w:kern w:val="14"/>
                <w:lang w:val="en-GB" w:eastAsia="fr-FR"/>
              </w:rPr>
              <w:t>4</w:t>
            </w:r>
            <w:r w:rsidRPr="001005A8">
              <w:rPr>
                <w:color w:val="000000"/>
                <w:kern w:val="14"/>
                <w:lang w:val="en-GB" w:eastAsia="fr-FR"/>
              </w:rPr>
              <w:t>-202</w:t>
            </w:r>
            <w:r w:rsidR="00974AA7" w:rsidRPr="001005A8">
              <w:rPr>
                <w:color w:val="000000"/>
                <w:kern w:val="14"/>
                <w:lang w:val="en-GB" w:eastAsia="fr-FR"/>
              </w:rPr>
              <w:t>8</w:t>
            </w:r>
            <w:r w:rsidRPr="001005A8">
              <w:rPr>
                <w:color w:val="000000"/>
                <w:kern w:val="14"/>
                <w:lang w:val="en-GB" w:eastAsia="fr-FR"/>
              </w:rPr>
              <w:t>)</w:t>
            </w:r>
            <w:r w:rsidRPr="001005A8">
              <w:rPr>
                <w:color w:val="000000"/>
                <w:sz w:val="24"/>
                <w:szCs w:val="24"/>
                <w:lang w:val="en-GB" w:eastAsia="fr-FR"/>
              </w:rPr>
              <w:tab/>
            </w:r>
          </w:p>
        </w:tc>
        <w:tc>
          <w:tcPr>
            <w:tcW w:w="533" w:type="dxa"/>
            <w:gridSpan w:val="2"/>
            <w:shd w:val="clear" w:color="auto" w:fill="auto"/>
            <w:vAlign w:val="bottom"/>
          </w:tcPr>
          <w:p w14:paraId="2FCE93E6" w14:textId="6B4E6B36" w:rsidR="00461411" w:rsidRPr="001005A8" w:rsidRDefault="001005A8" w:rsidP="00B9471B">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10</w:t>
            </w:r>
          </w:p>
        </w:tc>
      </w:tr>
    </w:tbl>
    <w:p w14:paraId="2440D3D7" w14:textId="4B5CD385" w:rsidR="00A918A7" w:rsidRPr="001005A8" w:rsidRDefault="00785474" w:rsidP="0004265D">
      <w:pPr>
        <w:pStyle w:val="Heading2"/>
        <w:numPr>
          <w:ilvl w:val="0"/>
          <w:numId w:val="3"/>
        </w:numPr>
        <w:tabs>
          <w:tab w:val="left" w:pos="1260"/>
        </w:tabs>
        <w:spacing w:after="200" w:line="240" w:lineRule="exact"/>
        <w:ind w:left="993" w:right="720" w:hanging="333"/>
        <w:jc w:val="both"/>
        <w:rPr>
          <w:rFonts w:ascii="Times New Roman" w:hAnsi="Times New Roman"/>
          <w:b w:val="0"/>
          <w:sz w:val="20"/>
          <w:lang w:val="en-GB"/>
        </w:rPr>
      </w:pPr>
      <w:r w:rsidRPr="001005A8">
        <w:rPr>
          <w:lang w:val="en-GB"/>
        </w:rPr>
        <w:br w:type="page"/>
      </w:r>
      <w:r w:rsidR="007C2934" w:rsidRPr="001005A8">
        <w:rPr>
          <w:rFonts w:ascii="Times New Roman" w:hAnsi="Times New Roman"/>
          <w:bCs/>
          <w:color w:val="000000"/>
          <w:sz w:val="24"/>
          <w:szCs w:val="24"/>
          <w:lang w:val="en-GB"/>
        </w:rPr>
        <w:lastRenderedPageBreak/>
        <w:t>UNDP</w:t>
      </w:r>
      <w:r w:rsidR="0072070F" w:rsidRPr="001005A8">
        <w:rPr>
          <w:rFonts w:ascii="Times New Roman" w:hAnsi="Times New Roman"/>
          <w:bCs/>
          <w:color w:val="000000"/>
          <w:sz w:val="24"/>
          <w:szCs w:val="24"/>
          <w:lang w:val="en-GB"/>
        </w:rPr>
        <w:t xml:space="preserve"> within</w:t>
      </w:r>
      <w:r w:rsidR="007C2934" w:rsidRPr="001005A8">
        <w:rPr>
          <w:rFonts w:ascii="Times New Roman" w:hAnsi="Times New Roman"/>
          <w:bCs/>
          <w:color w:val="000000"/>
          <w:sz w:val="24"/>
          <w:szCs w:val="24"/>
          <w:lang w:val="en-GB"/>
        </w:rPr>
        <w:t xml:space="preserve"> the </w:t>
      </w:r>
      <w:r w:rsidR="00015875" w:rsidRPr="001005A8">
        <w:rPr>
          <w:rFonts w:ascii="Times New Roman" w:hAnsi="Times New Roman"/>
          <w:bCs/>
          <w:color w:val="000000"/>
          <w:sz w:val="24"/>
          <w:szCs w:val="24"/>
          <w:lang w:val="en-GB"/>
        </w:rPr>
        <w:t>United Nations Sustainable Development Cooperation Framework</w:t>
      </w:r>
    </w:p>
    <w:p w14:paraId="051EA934" w14:textId="432B8509"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Angola is set to graduate from </w:t>
      </w:r>
      <w:r w:rsidR="00D75312" w:rsidRPr="001005A8">
        <w:rPr>
          <w:rFonts w:asciiTheme="majorBidi" w:hAnsiTheme="majorBidi" w:cstheme="majorBidi"/>
          <w:lang w:val="en-GB"/>
        </w:rPr>
        <w:t>l</w:t>
      </w:r>
      <w:r w:rsidRPr="001005A8">
        <w:rPr>
          <w:rFonts w:asciiTheme="majorBidi" w:hAnsiTheme="majorBidi" w:cstheme="majorBidi"/>
          <w:lang w:val="en-GB"/>
        </w:rPr>
        <w:t xml:space="preserve">east </w:t>
      </w:r>
      <w:r w:rsidR="00D75312" w:rsidRPr="001005A8">
        <w:rPr>
          <w:rFonts w:asciiTheme="majorBidi" w:hAnsiTheme="majorBidi" w:cstheme="majorBidi"/>
          <w:lang w:val="en-GB"/>
        </w:rPr>
        <w:t>d</w:t>
      </w:r>
      <w:r w:rsidRPr="001005A8">
        <w:rPr>
          <w:rFonts w:asciiTheme="majorBidi" w:hAnsiTheme="majorBidi" w:cstheme="majorBidi"/>
          <w:lang w:val="en-GB"/>
        </w:rPr>
        <w:t xml:space="preserve">eveloped </w:t>
      </w:r>
      <w:r w:rsidR="00D75312" w:rsidRPr="001005A8">
        <w:rPr>
          <w:rFonts w:asciiTheme="majorBidi" w:hAnsiTheme="majorBidi" w:cstheme="majorBidi"/>
          <w:lang w:val="en-GB"/>
        </w:rPr>
        <w:t>c</w:t>
      </w:r>
      <w:r w:rsidRPr="001005A8">
        <w:rPr>
          <w:rFonts w:asciiTheme="majorBidi" w:hAnsiTheme="majorBidi" w:cstheme="majorBidi"/>
          <w:lang w:val="en-GB"/>
        </w:rPr>
        <w:t>ountry (LDC) status by 2024 due to per capita income</w:t>
      </w:r>
      <w:r w:rsidR="00D75312" w:rsidRPr="001005A8">
        <w:rPr>
          <w:rFonts w:asciiTheme="majorBidi" w:hAnsiTheme="majorBidi" w:cstheme="majorBidi"/>
          <w:lang w:val="en-GB"/>
        </w:rPr>
        <w:t xml:space="preserve"> and</w:t>
      </w:r>
      <w:r w:rsidRPr="001005A8">
        <w:rPr>
          <w:rFonts w:asciiTheme="majorBidi" w:hAnsiTheme="majorBidi" w:cstheme="majorBidi"/>
          <w:lang w:val="en-GB"/>
        </w:rPr>
        <w:t xml:space="preserve"> despite challenges in access to basic social services, limited availability of skilled labo</w:t>
      </w:r>
      <w:r w:rsidR="00D75312" w:rsidRPr="001005A8">
        <w:rPr>
          <w:rFonts w:asciiTheme="majorBidi" w:hAnsiTheme="majorBidi" w:cstheme="majorBidi"/>
          <w:lang w:val="en-GB"/>
        </w:rPr>
        <w:t>u</w:t>
      </w:r>
      <w:r w:rsidRPr="001005A8">
        <w:rPr>
          <w:rFonts w:asciiTheme="majorBidi" w:hAnsiTheme="majorBidi" w:cstheme="majorBidi"/>
          <w:lang w:val="en-GB"/>
        </w:rPr>
        <w:t xml:space="preserve">r and high vulnerability to economic and climate change-related shocks. Between 2000 and 2021, the Human Development Index (HDI) improved from 0.375 to 0.586 </w:t>
      </w:r>
      <w:r w:rsidR="00D75312" w:rsidRPr="001005A8">
        <w:rPr>
          <w:rFonts w:asciiTheme="majorBidi" w:hAnsiTheme="majorBidi" w:cstheme="majorBidi"/>
          <w:lang w:val="en-GB"/>
        </w:rPr>
        <w:t>(</w:t>
      </w:r>
      <w:r w:rsidRPr="001005A8">
        <w:rPr>
          <w:rFonts w:asciiTheme="majorBidi" w:hAnsiTheme="majorBidi" w:cstheme="majorBidi"/>
          <w:lang w:val="en-GB"/>
        </w:rPr>
        <w:t>0.557 for females and 0.617 for males</w:t>
      </w:r>
      <w:r w:rsidR="00D75312" w:rsidRPr="001005A8">
        <w:rPr>
          <w:rFonts w:asciiTheme="majorBidi" w:hAnsiTheme="majorBidi" w:cstheme="majorBidi"/>
          <w:lang w:val="en-GB"/>
        </w:rPr>
        <w:t>) to</w:t>
      </w:r>
      <w:r w:rsidRPr="001005A8">
        <w:rPr>
          <w:rFonts w:asciiTheme="majorBidi" w:hAnsiTheme="majorBidi" w:cstheme="majorBidi"/>
          <w:lang w:val="en-GB"/>
        </w:rPr>
        <w:t xml:space="preserve"> position Angola 148</w:t>
      </w:r>
      <w:r w:rsidRPr="001005A8">
        <w:rPr>
          <w:rFonts w:asciiTheme="majorBidi" w:hAnsiTheme="majorBidi" w:cstheme="majorBidi"/>
          <w:vertAlign w:val="superscript"/>
          <w:lang w:val="en-GB"/>
        </w:rPr>
        <w:t>th</w:t>
      </w:r>
      <w:r w:rsidRPr="001005A8">
        <w:rPr>
          <w:rFonts w:asciiTheme="majorBidi" w:hAnsiTheme="majorBidi" w:cstheme="majorBidi"/>
          <w:lang w:val="en-GB"/>
        </w:rPr>
        <w:t xml:space="preserve"> out of 191 countries and territories.</w:t>
      </w:r>
      <w:r w:rsidRPr="001005A8">
        <w:rPr>
          <w:rStyle w:val="FootnoteReference"/>
          <w:rFonts w:asciiTheme="majorBidi" w:hAnsiTheme="majorBidi" w:cstheme="majorBidi"/>
          <w:lang w:val="en-GB"/>
        </w:rPr>
        <w:footnoteReference w:id="2"/>
      </w:r>
      <w:r w:rsidRPr="001005A8">
        <w:rPr>
          <w:rFonts w:asciiTheme="majorBidi" w:hAnsiTheme="majorBidi" w:cstheme="majorBidi"/>
          <w:lang w:val="en-GB"/>
        </w:rPr>
        <w:t xml:space="preserve"> In 2018, 31.1 per cent</w:t>
      </w:r>
      <w:bookmarkStart w:id="1" w:name="_Int_6CAxVJ3S"/>
      <w:bookmarkEnd w:id="1"/>
      <w:r w:rsidRPr="001005A8">
        <w:rPr>
          <w:rFonts w:asciiTheme="majorBidi" w:hAnsiTheme="majorBidi" w:cstheme="majorBidi"/>
          <w:lang w:val="en-GB"/>
        </w:rPr>
        <w:t xml:space="preserve"> of the population lived on </w:t>
      </w:r>
      <w:r w:rsidR="00D75312" w:rsidRPr="001005A8">
        <w:rPr>
          <w:rFonts w:asciiTheme="majorBidi" w:hAnsiTheme="majorBidi" w:cstheme="majorBidi"/>
          <w:lang w:val="en-GB"/>
        </w:rPr>
        <w:t>$</w:t>
      </w:r>
      <w:r w:rsidRPr="001005A8">
        <w:rPr>
          <w:rFonts w:asciiTheme="majorBidi" w:hAnsiTheme="majorBidi" w:cstheme="majorBidi"/>
          <w:lang w:val="en-GB"/>
        </w:rPr>
        <w:t>2.15</w:t>
      </w:r>
      <w:r w:rsidR="00D75312" w:rsidRPr="001005A8">
        <w:rPr>
          <w:rFonts w:asciiTheme="majorBidi" w:hAnsiTheme="majorBidi" w:cstheme="majorBidi"/>
          <w:lang w:val="en-GB"/>
        </w:rPr>
        <w:t xml:space="preserve"> </w:t>
      </w:r>
      <w:r w:rsidRPr="001005A8">
        <w:rPr>
          <w:rFonts w:asciiTheme="majorBidi" w:hAnsiTheme="majorBidi" w:cstheme="majorBidi"/>
          <w:lang w:val="en-GB"/>
        </w:rPr>
        <w:t>per day per person.</w:t>
      </w:r>
      <w:r w:rsidRPr="001005A8">
        <w:rPr>
          <w:rStyle w:val="FootnoteReference"/>
          <w:rFonts w:asciiTheme="majorBidi" w:hAnsiTheme="majorBidi" w:cstheme="majorBidi"/>
          <w:lang w:val="en-GB"/>
        </w:rPr>
        <w:footnoteReference w:id="3"/>
      </w:r>
      <w:r w:rsidRPr="001005A8">
        <w:rPr>
          <w:rFonts w:asciiTheme="majorBidi" w:hAnsiTheme="majorBidi" w:cstheme="majorBidi"/>
          <w:lang w:val="en-GB"/>
        </w:rPr>
        <w:t xml:space="preserve"> Nearly half (54 per cent) of the population lived in multidimensional poverty, reflecting deprivations in health, education, employment, and quality of life.</w:t>
      </w:r>
      <w:r w:rsidRPr="001005A8">
        <w:rPr>
          <w:rStyle w:val="FootnoteReference"/>
          <w:rFonts w:asciiTheme="majorBidi" w:hAnsiTheme="majorBidi" w:cstheme="majorBidi"/>
          <w:lang w:val="en-GB"/>
        </w:rPr>
        <w:footnoteReference w:id="4"/>
      </w:r>
    </w:p>
    <w:p w14:paraId="044DD595" w14:textId="77777777" w:rsidR="00974AA7" w:rsidRPr="001005A8" w:rsidRDefault="00974AA7" w:rsidP="00974AA7">
      <w:pPr>
        <w:pStyle w:val="ListParagraph"/>
        <w:ind w:left="993" w:right="713"/>
        <w:jc w:val="both"/>
        <w:rPr>
          <w:rFonts w:asciiTheme="majorBidi" w:hAnsiTheme="majorBidi" w:cstheme="majorBidi"/>
          <w:lang w:val="en-GB"/>
        </w:rPr>
      </w:pPr>
    </w:p>
    <w:p w14:paraId="3907769E" w14:textId="4DA3F3CB"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The </w:t>
      </w:r>
      <w:r w:rsidR="00D75312" w:rsidRPr="001005A8">
        <w:rPr>
          <w:rFonts w:asciiTheme="majorBidi" w:hAnsiTheme="majorBidi" w:cstheme="majorBidi"/>
          <w:lang w:val="en-GB"/>
        </w:rPr>
        <w:t>i</w:t>
      </w:r>
      <w:r w:rsidRPr="001005A8">
        <w:rPr>
          <w:rFonts w:asciiTheme="majorBidi" w:hAnsiTheme="majorBidi" w:cstheme="majorBidi"/>
          <w:lang w:val="en-GB"/>
        </w:rPr>
        <w:t xml:space="preserve">nequality-adjusted HDI shows </w:t>
      </w:r>
      <w:r w:rsidR="00D75312" w:rsidRPr="001005A8">
        <w:rPr>
          <w:rFonts w:asciiTheme="majorBidi" w:hAnsiTheme="majorBidi" w:cstheme="majorBidi"/>
          <w:lang w:val="en-GB"/>
        </w:rPr>
        <w:t xml:space="preserve">a </w:t>
      </w:r>
      <w:r w:rsidRPr="001005A8">
        <w:rPr>
          <w:rFonts w:asciiTheme="majorBidi" w:hAnsiTheme="majorBidi" w:cstheme="majorBidi"/>
          <w:lang w:val="en-GB"/>
        </w:rPr>
        <w:t xml:space="preserve">loss </w:t>
      </w:r>
      <w:r w:rsidR="00D75312" w:rsidRPr="001005A8">
        <w:rPr>
          <w:rFonts w:asciiTheme="majorBidi" w:hAnsiTheme="majorBidi" w:cstheme="majorBidi"/>
          <w:lang w:val="en-GB"/>
        </w:rPr>
        <w:t>of</w:t>
      </w:r>
      <w:r w:rsidRPr="001005A8">
        <w:rPr>
          <w:lang w:val="en-GB"/>
        </w:rPr>
        <w:t xml:space="preserve"> 30.5 per cent, lower</w:t>
      </w:r>
      <w:r w:rsidR="00D75312" w:rsidRPr="001005A8">
        <w:rPr>
          <w:lang w:val="en-GB"/>
        </w:rPr>
        <w:t>ing</w:t>
      </w:r>
      <w:r w:rsidRPr="001005A8">
        <w:rPr>
          <w:lang w:val="en-GB"/>
        </w:rPr>
        <w:t xml:space="preserve"> the </w:t>
      </w:r>
      <w:r w:rsidR="00D75312" w:rsidRPr="001005A8">
        <w:rPr>
          <w:lang w:val="en-GB"/>
        </w:rPr>
        <w:t xml:space="preserve">country </w:t>
      </w:r>
      <w:r w:rsidRPr="001005A8">
        <w:rPr>
          <w:lang w:val="en-GB"/>
        </w:rPr>
        <w:t xml:space="preserve">HDI </w:t>
      </w:r>
      <w:r w:rsidR="00D75312" w:rsidRPr="001005A8">
        <w:rPr>
          <w:lang w:val="en-GB"/>
        </w:rPr>
        <w:t xml:space="preserve">score </w:t>
      </w:r>
      <w:r w:rsidRPr="001005A8">
        <w:rPr>
          <w:lang w:val="en-GB"/>
        </w:rPr>
        <w:t>to 0.407 in 2021.</w:t>
      </w:r>
      <w:r w:rsidRPr="001005A8">
        <w:rPr>
          <w:rStyle w:val="FootnoteReference"/>
          <w:rFonts w:asciiTheme="majorBidi" w:hAnsiTheme="majorBidi" w:cstheme="majorBidi"/>
          <w:lang w:val="en-GB"/>
        </w:rPr>
        <w:footnoteReference w:id="5"/>
      </w:r>
      <w:r w:rsidRPr="001005A8">
        <w:rPr>
          <w:rFonts w:asciiTheme="majorBidi" w:hAnsiTheme="majorBidi" w:cstheme="majorBidi"/>
          <w:lang w:val="en-GB"/>
        </w:rPr>
        <w:t xml:space="preserve"> Nearly 42.7 per cent of Angolans have access to electricity.</w:t>
      </w:r>
      <w:r w:rsidRPr="001005A8">
        <w:rPr>
          <w:rStyle w:val="FootnoteReference"/>
          <w:rFonts w:asciiTheme="majorBidi" w:hAnsiTheme="majorBidi" w:cstheme="majorBidi"/>
          <w:lang w:val="en-GB"/>
        </w:rPr>
        <w:footnoteReference w:id="6"/>
      </w:r>
      <w:r w:rsidRPr="001005A8">
        <w:rPr>
          <w:rFonts w:asciiTheme="majorBidi" w:hAnsiTheme="majorBidi" w:cstheme="majorBidi"/>
          <w:lang w:val="en-GB"/>
        </w:rPr>
        <w:t xml:space="preserve"> In 2019, the proportion of the population using safely managed drinking water services in rural areas was 29.2 per cent compared to 66.9 </w:t>
      </w:r>
      <w:r w:rsidR="00D75312" w:rsidRPr="001005A8">
        <w:rPr>
          <w:rFonts w:asciiTheme="majorBidi" w:hAnsiTheme="majorBidi" w:cstheme="majorBidi"/>
          <w:lang w:val="en-GB"/>
        </w:rPr>
        <w:t xml:space="preserve">per cent </w:t>
      </w:r>
      <w:r w:rsidRPr="001005A8">
        <w:rPr>
          <w:rFonts w:asciiTheme="majorBidi" w:hAnsiTheme="majorBidi" w:cstheme="majorBidi"/>
          <w:lang w:val="en-GB"/>
        </w:rPr>
        <w:t>in urban areas.</w:t>
      </w:r>
      <w:r w:rsidRPr="001005A8">
        <w:rPr>
          <w:rStyle w:val="FootnoteReference"/>
          <w:rFonts w:asciiTheme="majorBidi" w:hAnsiTheme="majorBidi" w:cstheme="majorBidi"/>
          <w:lang w:val="en-GB"/>
        </w:rPr>
        <w:footnoteReference w:id="7"/>
      </w:r>
      <w:r w:rsidRPr="001005A8">
        <w:rPr>
          <w:lang w:val="en-GB"/>
        </w:rPr>
        <w:t xml:space="preserve"> </w:t>
      </w:r>
      <w:r w:rsidRPr="001005A8">
        <w:rPr>
          <w:rFonts w:asciiTheme="majorBidi" w:hAnsiTheme="majorBidi" w:cstheme="majorBidi"/>
          <w:lang w:val="en-GB"/>
        </w:rPr>
        <w:t>About 20.6 per cent of the population has internet access.</w:t>
      </w:r>
      <w:r w:rsidRPr="001005A8">
        <w:rPr>
          <w:rStyle w:val="FootnoteReference"/>
          <w:rFonts w:asciiTheme="majorBidi" w:hAnsiTheme="majorBidi" w:cstheme="majorBidi"/>
          <w:lang w:val="en-GB"/>
        </w:rPr>
        <w:footnoteReference w:id="8"/>
      </w:r>
      <w:r w:rsidRPr="001005A8">
        <w:rPr>
          <w:rFonts w:asciiTheme="majorBidi" w:hAnsiTheme="majorBidi" w:cstheme="majorBidi"/>
          <w:lang w:val="en-GB"/>
        </w:rPr>
        <w:t xml:space="preserve"> </w:t>
      </w:r>
      <w:r w:rsidR="00D75312" w:rsidRPr="001005A8">
        <w:rPr>
          <w:rFonts w:asciiTheme="majorBidi" w:hAnsiTheme="majorBidi" w:cstheme="majorBidi"/>
          <w:lang w:val="en-GB"/>
        </w:rPr>
        <w:t xml:space="preserve">Although </w:t>
      </w:r>
      <w:r w:rsidRPr="001005A8">
        <w:rPr>
          <w:rFonts w:asciiTheme="majorBidi" w:hAnsiTheme="majorBidi" w:cstheme="majorBidi"/>
          <w:lang w:val="en-GB"/>
        </w:rPr>
        <w:t xml:space="preserve">the Angolan economy </w:t>
      </w:r>
      <w:r w:rsidR="00D75312" w:rsidRPr="001005A8">
        <w:rPr>
          <w:rFonts w:asciiTheme="majorBidi" w:hAnsiTheme="majorBidi" w:cstheme="majorBidi"/>
          <w:lang w:val="en-GB"/>
        </w:rPr>
        <w:t>is recovering</w:t>
      </w:r>
      <w:r w:rsidRPr="001005A8">
        <w:rPr>
          <w:rFonts w:asciiTheme="majorBidi" w:hAnsiTheme="majorBidi" w:cstheme="majorBidi"/>
          <w:lang w:val="en-GB"/>
        </w:rPr>
        <w:t xml:space="preserve"> from the </w:t>
      </w:r>
      <w:r w:rsidR="00D75312" w:rsidRPr="001005A8">
        <w:rPr>
          <w:rFonts w:asciiTheme="majorBidi" w:hAnsiTheme="majorBidi" w:cstheme="majorBidi"/>
          <w:lang w:val="en-GB"/>
        </w:rPr>
        <w:t>COVID</w:t>
      </w:r>
      <w:r w:rsidRPr="001005A8">
        <w:rPr>
          <w:rFonts w:asciiTheme="majorBidi" w:hAnsiTheme="majorBidi" w:cstheme="majorBidi"/>
          <w:lang w:val="en-GB"/>
        </w:rPr>
        <w:t>-19 pandemic, vulnerabilit</w:t>
      </w:r>
      <w:r w:rsidR="00D75312" w:rsidRPr="001005A8">
        <w:rPr>
          <w:rFonts w:asciiTheme="majorBidi" w:hAnsiTheme="majorBidi" w:cstheme="majorBidi"/>
          <w:lang w:val="en-GB"/>
        </w:rPr>
        <w:t>ies</w:t>
      </w:r>
      <w:r w:rsidRPr="001005A8">
        <w:rPr>
          <w:rFonts w:asciiTheme="majorBidi" w:hAnsiTheme="majorBidi" w:cstheme="majorBidi"/>
          <w:lang w:val="en-GB"/>
        </w:rPr>
        <w:t xml:space="preserve"> </w:t>
      </w:r>
      <w:r w:rsidR="00D75312" w:rsidRPr="001005A8">
        <w:rPr>
          <w:rFonts w:asciiTheme="majorBidi" w:hAnsiTheme="majorBidi" w:cstheme="majorBidi"/>
          <w:lang w:val="en-GB"/>
        </w:rPr>
        <w:t xml:space="preserve">are </w:t>
      </w:r>
      <w:r w:rsidRPr="001005A8">
        <w:rPr>
          <w:rFonts w:asciiTheme="majorBidi" w:hAnsiTheme="majorBidi" w:cstheme="majorBidi"/>
          <w:lang w:val="en-GB"/>
        </w:rPr>
        <w:t xml:space="preserve">amplified by overdependence on the oil sector, which accounts for one-third of </w:t>
      </w:r>
      <w:r w:rsidR="00D75312" w:rsidRPr="001005A8">
        <w:rPr>
          <w:rFonts w:asciiTheme="majorBidi" w:hAnsiTheme="majorBidi" w:cstheme="majorBidi"/>
          <w:lang w:val="en-GB"/>
        </w:rPr>
        <w:t>g</w:t>
      </w:r>
      <w:r w:rsidRPr="001005A8">
        <w:rPr>
          <w:rFonts w:asciiTheme="majorBidi" w:hAnsiTheme="majorBidi" w:cstheme="majorBidi"/>
          <w:lang w:val="en-GB"/>
        </w:rPr>
        <w:t xml:space="preserve">ross </w:t>
      </w:r>
      <w:r w:rsidR="00D75312" w:rsidRPr="001005A8">
        <w:rPr>
          <w:rFonts w:asciiTheme="majorBidi" w:hAnsiTheme="majorBidi" w:cstheme="majorBidi"/>
          <w:lang w:val="en-GB"/>
        </w:rPr>
        <w:t>d</w:t>
      </w:r>
      <w:r w:rsidRPr="001005A8">
        <w:rPr>
          <w:rFonts w:asciiTheme="majorBidi" w:hAnsiTheme="majorBidi" w:cstheme="majorBidi"/>
          <w:lang w:val="en-GB"/>
        </w:rPr>
        <w:t xml:space="preserve">omestic </w:t>
      </w:r>
      <w:r w:rsidR="00D75312" w:rsidRPr="001005A8">
        <w:rPr>
          <w:rFonts w:asciiTheme="majorBidi" w:hAnsiTheme="majorBidi" w:cstheme="majorBidi"/>
          <w:lang w:val="en-GB"/>
        </w:rPr>
        <w:t>p</w:t>
      </w:r>
      <w:r w:rsidRPr="001005A8">
        <w:rPr>
          <w:rFonts w:asciiTheme="majorBidi" w:hAnsiTheme="majorBidi" w:cstheme="majorBidi"/>
          <w:lang w:val="en-GB"/>
        </w:rPr>
        <w:t>roduct (GDP), 95 per cent of exports, and over 50 per cent of fiscal revenue.</w:t>
      </w:r>
      <w:r w:rsidRPr="001005A8">
        <w:rPr>
          <w:rStyle w:val="FootnoteReference"/>
          <w:rFonts w:asciiTheme="majorBidi" w:hAnsiTheme="majorBidi" w:cstheme="majorBidi"/>
          <w:lang w:val="en-GB"/>
        </w:rPr>
        <w:footnoteReference w:id="9"/>
      </w:r>
    </w:p>
    <w:p w14:paraId="6E5E5BCB" w14:textId="77777777" w:rsidR="00974AA7" w:rsidRPr="001005A8" w:rsidRDefault="00974AA7" w:rsidP="00974AA7">
      <w:pPr>
        <w:pStyle w:val="ListParagraph"/>
        <w:ind w:left="993" w:right="713"/>
        <w:rPr>
          <w:rFonts w:asciiTheme="majorBidi" w:hAnsiTheme="majorBidi" w:cstheme="majorBidi"/>
          <w:lang w:val="en-GB"/>
        </w:rPr>
      </w:pPr>
    </w:p>
    <w:p w14:paraId="34F47721" w14:textId="2D4259BE"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Agriculture and fisheries account for more than half of total employment but contribute only seven per cent of GDP</w:t>
      </w:r>
      <w:r w:rsidRPr="001005A8">
        <w:rPr>
          <w:rStyle w:val="FootnoteReference"/>
          <w:rFonts w:asciiTheme="majorBidi" w:hAnsiTheme="majorBidi" w:cstheme="majorBidi"/>
          <w:lang w:val="en-GB"/>
        </w:rPr>
        <w:footnoteReference w:id="10"/>
      </w:r>
      <w:r w:rsidRPr="001005A8">
        <w:rPr>
          <w:rFonts w:asciiTheme="majorBidi" w:hAnsiTheme="majorBidi" w:cstheme="majorBidi"/>
          <w:lang w:val="en-GB"/>
        </w:rPr>
        <w:t xml:space="preserve"> and less than one per cent of total exports.</w:t>
      </w:r>
      <w:r w:rsidRPr="001005A8">
        <w:rPr>
          <w:rStyle w:val="FootnoteReference"/>
          <w:rFonts w:asciiTheme="majorBidi" w:hAnsiTheme="majorBidi" w:cstheme="majorBidi"/>
          <w:lang w:val="en-GB"/>
        </w:rPr>
        <w:footnoteReference w:id="11"/>
      </w:r>
      <w:r w:rsidRPr="001005A8">
        <w:rPr>
          <w:rFonts w:asciiTheme="majorBidi" w:hAnsiTheme="majorBidi" w:cstheme="majorBidi"/>
          <w:lang w:val="en-GB"/>
        </w:rPr>
        <w:t xml:space="preserve"> In 2022, the unemployment rate stood at 29.6 per cent (28.9 </w:t>
      </w:r>
      <w:r w:rsidR="000651E8" w:rsidRPr="001005A8">
        <w:rPr>
          <w:rFonts w:asciiTheme="majorBidi" w:hAnsiTheme="majorBidi" w:cstheme="majorBidi"/>
          <w:lang w:val="en-GB"/>
        </w:rPr>
        <w:t xml:space="preserve">per cent </w:t>
      </w:r>
      <w:r w:rsidRPr="001005A8">
        <w:rPr>
          <w:rFonts w:asciiTheme="majorBidi" w:hAnsiTheme="majorBidi" w:cstheme="majorBidi"/>
          <w:lang w:val="en-GB"/>
        </w:rPr>
        <w:t xml:space="preserve">for females, 30.4 </w:t>
      </w:r>
      <w:r w:rsidR="000651E8" w:rsidRPr="001005A8">
        <w:rPr>
          <w:rFonts w:asciiTheme="majorBidi" w:hAnsiTheme="majorBidi" w:cstheme="majorBidi"/>
          <w:lang w:val="en-GB"/>
        </w:rPr>
        <w:t xml:space="preserve">per cent </w:t>
      </w:r>
      <w:r w:rsidRPr="001005A8">
        <w:rPr>
          <w:rFonts w:asciiTheme="majorBidi" w:hAnsiTheme="majorBidi" w:cstheme="majorBidi"/>
          <w:lang w:val="en-GB"/>
        </w:rPr>
        <w:t>for males, and 52.9 per cent for youth between 15 and 24 years</w:t>
      </w:r>
      <w:r w:rsidR="00516574" w:rsidRPr="001005A8">
        <w:rPr>
          <w:rFonts w:asciiTheme="majorBidi" w:hAnsiTheme="majorBidi" w:cstheme="majorBidi"/>
          <w:lang w:val="en-GB"/>
        </w:rPr>
        <w:t xml:space="preserve"> old</w:t>
      </w:r>
      <w:r w:rsidRPr="001005A8">
        <w:rPr>
          <w:rFonts w:asciiTheme="majorBidi" w:hAnsiTheme="majorBidi" w:cstheme="majorBidi"/>
          <w:lang w:val="en-GB"/>
        </w:rPr>
        <w:t>).</w:t>
      </w:r>
      <w:r w:rsidRPr="001005A8">
        <w:rPr>
          <w:rStyle w:val="FootnoteReference"/>
          <w:rFonts w:asciiTheme="majorBidi" w:hAnsiTheme="majorBidi" w:cstheme="majorBidi"/>
          <w:lang w:val="en-GB"/>
        </w:rPr>
        <w:footnoteReference w:id="12"/>
      </w:r>
      <w:r w:rsidRPr="001005A8">
        <w:rPr>
          <w:rFonts w:asciiTheme="majorBidi" w:hAnsiTheme="majorBidi" w:cstheme="majorBidi"/>
          <w:lang w:val="en-GB"/>
        </w:rPr>
        <w:t xml:space="preserve"> Informal employment accounted for 80.5 per cent of total employment (87.9 </w:t>
      </w:r>
      <w:r w:rsidR="000651E8" w:rsidRPr="001005A8">
        <w:rPr>
          <w:rFonts w:asciiTheme="majorBidi" w:hAnsiTheme="majorBidi" w:cstheme="majorBidi"/>
          <w:lang w:val="en-GB"/>
        </w:rPr>
        <w:t xml:space="preserve">per cent </w:t>
      </w:r>
      <w:r w:rsidRPr="001005A8">
        <w:rPr>
          <w:rFonts w:asciiTheme="majorBidi" w:hAnsiTheme="majorBidi" w:cstheme="majorBidi"/>
          <w:lang w:val="en-GB"/>
        </w:rPr>
        <w:t xml:space="preserve">for females, 72.3 </w:t>
      </w:r>
      <w:r w:rsidR="000651E8" w:rsidRPr="001005A8">
        <w:rPr>
          <w:rFonts w:asciiTheme="majorBidi" w:hAnsiTheme="majorBidi" w:cstheme="majorBidi"/>
          <w:lang w:val="en-GB"/>
        </w:rPr>
        <w:t xml:space="preserve">per cent </w:t>
      </w:r>
      <w:r w:rsidRPr="001005A8">
        <w:rPr>
          <w:rFonts w:asciiTheme="majorBidi" w:hAnsiTheme="majorBidi" w:cstheme="majorBidi"/>
          <w:lang w:val="en-GB"/>
        </w:rPr>
        <w:t>for males, 95.2 per cent for young females, and 91.3 per cent for young males).</w:t>
      </w:r>
      <w:r w:rsidRPr="001005A8">
        <w:rPr>
          <w:rStyle w:val="FootnoteReference"/>
          <w:rFonts w:asciiTheme="majorBidi" w:hAnsiTheme="majorBidi"/>
          <w:lang w:val="en-GB"/>
        </w:rPr>
        <w:footnoteReference w:id="13"/>
      </w:r>
    </w:p>
    <w:p w14:paraId="218AF48C" w14:textId="77777777" w:rsidR="00974AA7" w:rsidRPr="001005A8" w:rsidRDefault="00974AA7" w:rsidP="00974AA7">
      <w:pPr>
        <w:pStyle w:val="ListParagraph"/>
        <w:ind w:left="993" w:right="713"/>
        <w:rPr>
          <w:rFonts w:asciiTheme="majorBidi" w:hAnsiTheme="majorBidi" w:cstheme="majorBidi"/>
          <w:lang w:val="en-GB"/>
        </w:rPr>
      </w:pPr>
    </w:p>
    <w:p w14:paraId="6AD4643E" w14:textId="05F2CFFA"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The average annual growth rate of the population was 3.3 per cent in 2015-2020.</w:t>
      </w:r>
      <w:r w:rsidRPr="001005A8">
        <w:rPr>
          <w:rStyle w:val="FootnoteReference"/>
          <w:rFonts w:asciiTheme="majorBidi" w:hAnsiTheme="majorBidi" w:cstheme="majorBidi"/>
          <w:lang w:val="en-GB"/>
        </w:rPr>
        <w:footnoteReference w:id="14"/>
      </w:r>
      <w:r w:rsidRPr="001005A8">
        <w:rPr>
          <w:rFonts w:asciiTheme="majorBidi" w:hAnsiTheme="majorBidi" w:cstheme="majorBidi"/>
          <w:lang w:val="en-GB"/>
        </w:rPr>
        <w:t xml:space="preserve"> In 2023, the </w:t>
      </w:r>
      <w:r w:rsidR="00516574" w:rsidRPr="001005A8">
        <w:rPr>
          <w:rFonts w:asciiTheme="majorBidi" w:hAnsiTheme="majorBidi" w:cstheme="majorBidi"/>
          <w:lang w:val="en-GB"/>
        </w:rPr>
        <w:t>national</w:t>
      </w:r>
      <w:r w:rsidRPr="001005A8">
        <w:rPr>
          <w:rFonts w:asciiTheme="majorBidi" w:hAnsiTheme="majorBidi" w:cstheme="majorBidi"/>
          <w:lang w:val="en-GB"/>
        </w:rPr>
        <w:t xml:space="preserve"> fertility rate was the seventh highest in the world with 5.1 children per woman.</w:t>
      </w:r>
      <w:r w:rsidRPr="001005A8">
        <w:rPr>
          <w:rStyle w:val="FootnoteReference"/>
          <w:rFonts w:asciiTheme="majorBidi" w:hAnsiTheme="majorBidi" w:cstheme="majorBidi"/>
          <w:lang w:val="en-GB"/>
        </w:rPr>
        <w:footnoteReference w:id="15"/>
      </w:r>
      <w:r w:rsidRPr="001005A8">
        <w:rPr>
          <w:rFonts w:asciiTheme="majorBidi" w:hAnsiTheme="majorBidi" w:cstheme="majorBidi"/>
          <w:lang w:val="en-GB"/>
        </w:rPr>
        <w:t xml:space="preserve"> </w:t>
      </w:r>
      <w:r w:rsidR="00516574" w:rsidRPr="001005A8">
        <w:rPr>
          <w:rFonts w:asciiTheme="majorBidi" w:hAnsiTheme="majorBidi" w:cstheme="majorBidi"/>
          <w:lang w:val="en-GB"/>
        </w:rPr>
        <w:t>T</w:t>
      </w:r>
      <w:r w:rsidRPr="001005A8">
        <w:rPr>
          <w:rFonts w:asciiTheme="majorBidi" w:hAnsiTheme="majorBidi" w:cstheme="majorBidi"/>
          <w:lang w:val="en-GB"/>
        </w:rPr>
        <w:t>wo-thirds of the population are under 25 years of age.</w:t>
      </w:r>
      <w:r w:rsidRPr="001005A8">
        <w:rPr>
          <w:rStyle w:val="FootnoteReference"/>
          <w:rFonts w:asciiTheme="majorBidi" w:hAnsiTheme="majorBidi" w:cstheme="majorBidi"/>
          <w:lang w:val="en-GB"/>
        </w:rPr>
        <w:footnoteReference w:id="16"/>
      </w:r>
      <w:r w:rsidRPr="001005A8">
        <w:rPr>
          <w:rFonts w:asciiTheme="majorBidi" w:hAnsiTheme="majorBidi" w:cstheme="majorBidi"/>
          <w:lang w:val="en-GB"/>
        </w:rPr>
        <w:t xml:space="preserve"> </w:t>
      </w:r>
      <w:bookmarkStart w:id="2" w:name="_Int_CW13CfKv"/>
      <w:r w:rsidRPr="001005A8">
        <w:rPr>
          <w:rFonts w:asciiTheme="majorBidi" w:hAnsiTheme="majorBidi" w:cstheme="majorBidi"/>
          <w:lang w:val="en-GB"/>
        </w:rPr>
        <w:t>Nearly</w:t>
      </w:r>
      <w:bookmarkEnd w:id="2"/>
      <w:r w:rsidRPr="001005A8">
        <w:rPr>
          <w:rFonts w:asciiTheme="majorBidi" w:hAnsiTheme="majorBidi" w:cstheme="majorBidi"/>
          <w:lang w:val="en-GB"/>
        </w:rPr>
        <w:t xml:space="preserve"> 42 per cent of women completed at least primary school, compared to 62 per cent of men; 41 per cent of ever-partnered women and girls aged 15 years and older were subjected to physical, sexual, or psychological violence.</w:t>
      </w:r>
      <w:r w:rsidRPr="001005A8">
        <w:rPr>
          <w:rStyle w:val="FootnoteReference"/>
          <w:rFonts w:asciiTheme="majorBidi" w:hAnsiTheme="majorBidi" w:cstheme="majorBidi"/>
          <w:lang w:val="en-GB"/>
        </w:rPr>
        <w:footnoteReference w:id="17"/>
      </w:r>
      <w:r w:rsidRPr="001005A8">
        <w:rPr>
          <w:rFonts w:asciiTheme="majorBidi" w:hAnsiTheme="majorBidi" w:cstheme="majorBidi"/>
          <w:lang w:val="en-GB"/>
        </w:rPr>
        <w:t xml:space="preserve"> </w:t>
      </w:r>
    </w:p>
    <w:p w14:paraId="71168001" w14:textId="77777777" w:rsidR="00974AA7" w:rsidRPr="001005A8" w:rsidRDefault="00974AA7" w:rsidP="00974AA7">
      <w:pPr>
        <w:pStyle w:val="ListParagraph"/>
        <w:ind w:left="993" w:right="713"/>
        <w:rPr>
          <w:rFonts w:asciiTheme="majorBidi" w:hAnsiTheme="majorBidi" w:cstheme="majorBidi"/>
          <w:lang w:val="en-GB"/>
        </w:rPr>
      </w:pPr>
    </w:p>
    <w:p w14:paraId="07398C58" w14:textId="18425A5A" w:rsidR="00974AA7" w:rsidRPr="001005A8" w:rsidRDefault="00974AA7" w:rsidP="0004265D">
      <w:pPr>
        <w:pStyle w:val="ListParagraph"/>
        <w:numPr>
          <w:ilvl w:val="0"/>
          <w:numId w:val="1"/>
        </w:numPr>
        <w:ind w:left="993" w:right="713" w:firstLine="0"/>
        <w:jc w:val="both"/>
        <w:rPr>
          <w:rFonts w:asciiTheme="majorBidi" w:hAnsiTheme="majorBidi" w:cstheme="majorBidi"/>
          <w:color w:val="1F497D" w:themeColor="text2"/>
          <w:lang w:val="en-GB"/>
        </w:rPr>
      </w:pPr>
      <w:r w:rsidRPr="001005A8">
        <w:rPr>
          <w:rFonts w:asciiTheme="majorBidi" w:hAnsiTheme="majorBidi" w:cstheme="majorBidi"/>
          <w:lang w:val="en-GB"/>
        </w:rPr>
        <w:t xml:space="preserve">New </w:t>
      </w:r>
      <w:r w:rsidR="00516574" w:rsidRPr="001005A8">
        <w:rPr>
          <w:rFonts w:asciiTheme="majorBidi" w:hAnsiTheme="majorBidi" w:cstheme="majorBidi"/>
          <w:lang w:val="en-GB"/>
        </w:rPr>
        <w:t>human immunodeficiency virus (</w:t>
      </w:r>
      <w:r w:rsidRPr="001005A8">
        <w:rPr>
          <w:rFonts w:asciiTheme="majorBidi" w:hAnsiTheme="majorBidi" w:cstheme="majorBidi"/>
          <w:lang w:val="en-GB"/>
        </w:rPr>
        <w:t>HIV</w:t>
      </w:r>
      <w:r w:rsidR="00516574" w:rsidRPr="001005A8">
        <w:rPr>
          <w:rFonts w:asciiTheme="majorBidi" w:hAnsiTheme="majorBidi" w:cstheme="majorBidi"/>
          <w:lang w:val="en-GB"/>
        </w:rPr>
        <w:t>)</w:t>
      </w:r>
      <w:r w:rsidRPr="001005A8">
        <w:rPr>
          <w:rFonts w:asciiTheme="majorBidi" w:hAnsiTheme="majorBidi" w:cstheme="majorBidi"/>
          <w:lang w:val="en-GB"/>
        </w:rPr>
        <w:t xml:space="preserve"> infections were estimated at 0.52 per 1</w:t>
      </w:r>
      <w:r w:rsidR="003C4E83" w:rsidRPr="001005A8">
        <w:rPr>
          <w:rFonts w:asciiTheme="majorBidi" w:hAnsiTheme="majorBidi" w:cstheme="majorBidi"/>
          <w:lang w:val="en-GB"/>
        </w:rPr>
        <w:t>,</w:t>
      </w:r>
      <w:r w:rsidRPr="001005A8">
        <w:rPr>
          <w:rFonts w:asciiTheme="majorBidi" w:hAnsiTheme="majorBidi" w:cstheme="majorBidi"/>
          <w:lang w:val="en-GB"/>
        </w:rPr>
        <w:t>000 uninfected people in 2021.</w:t>
      </w:r>
      <w:r w:rsidRPr="001005A8">
        <w:rPr>
          <w:rStyle w:val="FootnoteReference"/>
          <w:rFonts w:asciiTheme="majorBidi" w:hAnsiTheme="majorBidi" w:cstheme="majorBidi"/>
          <w:lang w:val="en-GB"/>
        </w:rPr>
        <w:footnoteReference w:id="18"/>
      </w:r>
      <w:r w:rsidRPr="001005A8">
        <w:rPr>
          <w:rFonts w:asciiTheme="majorBidi" w:hAnsiTheme="majorBidi" w:cstheme="majorBidi"/>
          <w:lang w:val="en-GB"/>
        </w:rPr>
        <w:t xml:space="preserve"> Angola is among</w:t>
      </w:r>
      <w:r w:rsidR="00516574" w:rsidRPr="001005A8">
        <w:rPr>
          <w:rFonts w:asciiTheme="majorBidi" w:hAnsiTheme="majorBidi" w:cstheme="majorBidi"/>
          <w:lang w:val="en-GB"/>
        </w:rPr>
        <w:t>st</w:t>
      </w:r>
      <w:r w:rsidRPr="001005A8">
        <w:rPr>
          <w:rFonts w:asciiTheme="majorBidi" w:hAnsiTheme="majorBidi" w:cstheme="majorBidi"/>
          <w:lang w:val="en-GB"/>
        </w:rPr>
        <w:t xml:space="preserve"> the thirty high-burden countries for </w:t>
      </w:r>
      <w:r w:rsidR="00516574" w:rsidRPr="001005A8">
        <w:rPr>
          <w:rFonts w:asciiTheme="majorBidi" w:hAnsiTheme="majorBidi" w:cstheme="majorBidi"/>
          <w:lang w:val="en-GB"/>
        </w:rPr>
        <w:t>t</w:t>
      </w:r>
      <w:r w:rsidRPr="001005A8">
        <w:rPr>
          <w:rFonts w:asciiTheme="majorBidi" w:hAnsiTheme="majorBidi" w:cstheme="majorBidi"/>
          <w:lang w:val="en-GB"/>
        </w:rPr>
        <w:t xml:space="preserve">uberculosis and multidrug-resistant </w:t>
      </w:r>
      <w:r w:rsidR="00362E12" w:rsidRPr="001005A8">
        <w:rPr>
          <w:rFonts w:asciiTheme="majorBidi" w:hAnsiTheme="majorBidi" w:cstheme="majorBidi"/>
          <w:lang w:val="en-GB"/>
        </w:rPr>
        <w:t>t</w:t>
      </w:r>
      <w:r w:rsidRPr="001005A8">
        <w:rPr>
          <w:rFonts w:asciiTheme="majorBidi" w:hAnsiTheme="majorBidi" w:cstheme="majorBidi"/>
          <w:lang w:val="en-GB"/>
        </w:rPr>
        <w:t>uberculosis.</w:t>
      </w:r>
      <w:r w:rsidRPr="001005A8">
        <w:rPr>
          <w:rStyle w:val="FootnoteReference"/>
          <w:rFonts w:asciiTheme="majorBidi" w:hAnsiTheme="majorBidi" w:cstheme="majorBidi"/>
          <w:lang w:val="en-GB"/>
        </w:rPr>
        <w:footnoteReference w:id="19"/>
      </w:r>
      <w:r w:rsidRPr="001005A8">
        <w:rPr>
          <w:rFonts w:asciiTheme="majorBidi" w:hAnsiTheme="majorBidi" w:cstheme="majorBidi"/>
          <w:lang w:val="en-GB"/>
        </w:rPr>
        <w:t xml:space="preserve"> About 8.8 million malaria cases were reported in 2021, making Angola the fifth most affected country in the world, </w:t>
      </w:r>
      <w:r w:rsidR="00516574" w:rsidRPr="001005A8">
        <w:rPr>
          <w:rFonts w:asciiTheme="majorBidi" w:hAnsiTheme="majorBidi" w:cstheme="majorBidi"/>
          <w:lang w:val="en-GB"/>
        </w:rPr>
        <w:t>accounting</w:t>
      </w:r>
      <w:r w:rsidRPr="001005A8">
        <w:rPr>
          <w:rFonts w:asciiTheme="majorBidi" w:hAnsiTheme="majorBidi" w:cstheme="majorBidi"/>
          <w:lang w:val="en-GB"/>
        </w:rPr>
        <w:t xml:space="preserve"> for 3.4 per cent of cases and 2.4 per cent of malaria deaths globally.</w:t>
      </w:r>
      <w:r w:rsidRPr="001005A8">
        <w:rPr>
          <w:rStyle w:val="FootnoteReference"/>
          <w:rFonts w:asciiTheme="majorBidi" w:hAnsiTheme="majorBidi" w:cstheme="majorBidi"/>
          <w:lang w:val="en-GB"/>
        </w:rPr>
        <w:footnoteReference w:id="20"/>
      </w:r>
      <w:r w:rsidRPr="001005A8">
        <w:rPr>
          <w:rFonts w:asciiTheme="majorBidi" w:hAnsiTheme="majorBidi" w:cstheme="majorBidi"/>
          <w:lang w:val="en-GB"/>
        </w:rPr>
        <w:t xml:space="preserve"> Access to health care remains a challenge due to </w:t>
      </w:r>
      <w:r w:rsidRPr="001005A8">
        <w:rPr>
          <w:rFonts w:asciiTheme="majorBidi" w:hAnsiTheme="majorBidi" w:cstheme="majorBidi"/>
          <w:lang w:val="en-GB"/>
        </w:rPr>
        <w:lastRenderedPageBreak/>
        <w:t xml:space="preserve">systemic deficiencies in health service delivery, limited health funding, and weak health information and logistics management systems. </w:t>
      </w:r>
    </w:p>
    <w:p w14:paraId="45C9C7B0" w14:textId="77777777" w:rsidR="00974AA7" w:rsidRPr="001005A8" w:rsidRDefault="00974AA7" w:rsidP="00974AA7">
      <w:pPr>
        <w:pStyle w:val="ListParagraph"/>
        <w:ind w:left="993" w:right="713"/>
        <w:rPr>
          <w:rFonts w:asciiTheme="majorBidi" w:hAnsiTheme="majorBidi" w:cstheme="majorBidi"/>
          <w:lang w:val="en-GB"/>
        </w:rPr>
      </w:pPr>
    </w:p>
    <w:p w14:paraId="68FE7BDC" w14:textId="18B751C1"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Angola ratified the Paris Agreement in 2020, submitted its revised Nationally Determined Contributions (NDCs) in 2021 and developed </w:t>
      </w:r>
      <w:r w:rsidR="00516574" w:rsidRPr="001005A8">
        <w:rPr>
          <w:rFonts w:asciiTheme="majorBidi" w:hAnsiTheme="majorBidi" w:cstheme="majorBidi"/>
          <w:lang w:val="en-GB"/>
        </w:rPr>
        <w:t xml:space="preserve">a </w:t>
      </w:r>
      <w:r w:rsidRPr="001005A8">
        <w:rPr>
          <w:rFonts w:asciiTheme="majorBidi" w:hAnsiTheme="majorBidi" w:cstheme="majorBidi"/>
          <w:lang w:val="en-GB"/>
        </w:rPr>
        <w:t xml:space="preserve">2022-2035 National Strategy for Climate Change. The country is endowed with large sources of renewable energy, including water and sun irradiation. However, it is also prone to natural disasters, including droughts and floods. In 2021-2022, the worst drought in the last forty years hit the provinces of Huila, Namibe, and Cunene, affecting 1.32 million people, mostly women and children, </w:t>
      </w:r>
      <w:r w:rsidR="00516574" w:rsidRPr="001005A8">
        <w:rPr>
          <w:rFonts w:asciiTheme="majorBidi" w:hAnsiTheme="majorBidi" w:cstheme="majorBidi"/>
          <w:lang w:val="en-GB"/>
        </w:rPr>
        <w:t xml:space="preserve">and causing </w:t>
      </w:r>
      <w:r w:rsidRPr="001005A8">
        <w:rPr>
          <w:rFonts w:asciiTheme="majorBidi" w:hAnsiTheme="majorBidi" w:cstheme="majorBidi"/>
          <w:lang w:val="en-GB"/>
        </w:rPr>
        <w:t>elevated levels of acute food insecurity.</w:t>
      </w:r>
      <w:r w:rsidRPr="001005A8">
        <w:rPr>
          <w:rStyle w:val="FootnoteReference"/>
          <w:rFonts w:asciiTheme="majorBidi" w:hAnsiTheme="majorBidi" w:cstheme="majorBidi"/>
          <w:lang w:val="en-GB"/>
        </w:rPr>
        <w:footnoteReference w:id="21"/>
      </w:r>
      <w:r w:rsidRPr="001005A8">
        <w:rPr>
          <w:rFonts w:asciiTheme="majorBidi" w:hAnsiTheme="majorBidi" w:cstheme="majorBidi"/>
          <w:lang w:val="en-GB"/>
        </w:rPr>
        <w:t xml:space="preserve"> </w:t>
      </w:r>
      <w:r w:rsidR="00516574" w:rsidRPr="001005A8">
        <w:rPr>
          <w:rFonts w:asciiTheme="majorBidi" w:hAnsiTheme="majorBidi" w:cstheme="majorBidi"/>
          <w:lang w:val="en-GB"/>
        </w:rPr>
        <w:t>As such, t</w:t>
      </w:r>
      <w:r w:rsidRPr="001005A8">
        <w:rPr>
          <w:rFonts w:asciiTheme="majorBidi" w:hAnsiTheme="majorBidi" w:cstheme="majorBidi"/>
          <w:lang w:val="en-GB"/>
        </w:rPr>
        <w:t xml:space="preserve">he 2022 United Nations Common Country Analysis (CCA) for Angola highlighted </w:t>
      </w:r>
      <w:r w:rsidR="00516574" w:rsidRPr="001005A8">
        <w:rPr>
          <w:rFonts w:asciiTheme="majorBidi" w:hAnsiTheme="majorBidi" w:cstheme="majorBidi"/>
          <w:lang w:val="en-GB"/>
        </w:rPr>
        <w:t>investment</w:t>
      </w:r>
      <w:r w:rsidRPr="001005A8">
        <w:rPr>
          <w:rFonts w:asciiTheme="majorBidi" w:hAnsiTheme="majorBidi" w:cstheme="majorBidi"/>
          <w:lang w:val="en-GB"/>
        </w:rPr>
        <w:t xml:space="preserve"> in health, skills development and climate change resilience would yield positive results to curb poverty.</w:t>
      </w:r>
    </w:p>
    <w:p w14:paraId="05E2875C" w14:textId="77777777" w:rsidR="00974AA7" w:rsidRPr="001005A8" w:rsidRDefault="00974AA7" w:rsidP="00974AA7">
      <w:pPr>
        <w:pStyle w:val="ListParagraph"/>
        <w:ind w:left="993" w:right="713"/>
        <w:rPr>
          <w:rFonts w:asciiTheme="majorBidi" w:hAnsiTheme="majorBidi" w:cstheme="majorBidi"/>
          <w:lang w:val="en-GB"/>
        </w:rPr>
      </w:pPr>
    </w:p>
    <w:p w14:paraId="5E6F7F21" w14:textId="4AA0623E"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The Final Evaluation Report of the 2020-2023 United Nations Sustainable Development Cooperation Framework (UNSDCF) recommended considering system </w:t>
      </w:r>
      <w:r w:rsidR="00516574" w:rsidRPr="001005A8">
        <w:rPr>
          <w:rFonts w:asciiTheme="majorBidi" w:hAnsiTheme="majorBidi" w:cstheme="majorBidi"/>
          <w:lang w:val="en-GB"/>
        </w:rPr>
        <w:t>links</w:t>
      </w:r>
      <w:r w:rsidRPr="001005A8">
        <w:rPr>
          <w:rFonts w:asciiTheme="majorBidi" w:hAnsiTheme="majorBidi" w:cstheme="majorBidi"/>
          <w:lang w:val="en-GB"/>
        </w:rPr>
        <w:t xml:space="preserve">, </w:t>
      </w:r>
      <w:r w:rsidR="00516574" w:rsidRPr="001005A8">
        <w:rPr>
          <w:rFonts w:asciiTheme="majorBidi" w:hAnsiTheme="majorBidi" w:cstheme="majorBidi"/>
          <w:lang w:val="en-GB"/>
        </w:rPr>
        <w:t xml:space="preserve">improving </w:t>
      </w:r>
      <w:r w:rsidRPr="001005A8">
        <w:rPr>
          <w:rFonts w:asciiTheme="majorBidi" w:hAnsiTheme="majorBidi" w:cstheme="majorBidi"/>
          <w:lang w:val="en-GB"/>
        </w:rPr>
        <w:t>policy coherence, ensuring that no one is left behind, identifying risks and building resilience to climate change. The evaluation recommended promoting upstream policy dialogue, advocacy and capacity development</w:t>
      </w:r>
      <w:r w:rsidR="00516574" w:rsidRPr="001005A8">
        <w:rPr>
          <w:rFonts w:asciiTheme="majorBidi" w:hAnsiTheme="majorBidi" w:cstheme="majorBidi"/>
          <w:lang w:val="en-GB"/>
        </w:rPr>
        <w:t xml:space="preserve"> that is</w:t>
      </w:r>
      <w:r w:rsidRPr="001005A8">
        <w:rPr>
          <w:rFonts w:asciiTheme="majorBidi" w:hAnsiTheme="majorBidi" w:cstheme="majorBidi"/>
          <w:lang w:val="en-GB"/>
        </w:rPr>
        <w:t xml:space="preserve"> complemented by a downstream approach focused to Leave No One Behind, including greater support for youth, women and vulnerable populations. Combating HIV, Tuberculosis, and Malaria, and building resilience to climate change were also identified as key priorities to boost development.</w:t>
      </w:r>
    </w:p>
    <w:p w14:paraId="766D035B" w14:textId="77777777" w:rsidR="00974AA7" w:rsidRPr="001005A8" w:rsidRDefault="00974AA7" w:rsidP="00974AA7">
      <w:pPr>
        <w:ind w:left="993" w:right="713"/>
        <w:jc w:val="both"/>
        <w:rPr>
          <w:rFonts w:asciiTheme="majorBidi" w:hAnsiTheme="majorBidi" w:cstheme="majorBidi"/>
          <w:lang w:val="en-GB"/>
        </w:rPr>
      </w:pPr>
    </w:p>
    <w:p w14:paraId="4F26A940" w14:textId="5A43F5AD"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The </w:t>
      </w:r>
      <w:r w:rsidR="00516574" w:rsidRPr="001005A8">
        <w:rPr>
          <w:rFonts w:asciiTheme="majorBidi" w:hAnsiTheme="majorBidi" w:cstheme="majorBidi"/>
          <w:lang w:val="en-GB"/>
        </w:rPr>
        <w:t>g</w:t>
      </w:r>
      <w:r w:rsidRPr="001005A8">
        <w:rPr>
          <w:rFonts w:asciiTheme="majorBidi" w:hAnsiTheme="majorBidi" w:cstheme="majorBidi"/>
          <w:lang w:val="en-GB"/>
        </w:rPr>
        <w:t xml:space="preserve">overnment remains committed to the 2030 Agenda for Sustainable Development and </w:t>
      </w:r>
      <w:r w:rsidR="00516574" w:rsidRPr="001005A8">
        <w:rPr>
          <w:rFonts w:asciiTheme="majorBidi" w:hAnsiTheme="majorBidi" w:cstheme="majorBidi"/>
          <w:lang w:val="en-GB"/>
        </w:rPr>
        <w:t xml:space="preserve">African Union </w:t>
      </w:r>
      <w:r w:rsidRPr="001005A8">
        <w:rPr>
          <w:rFonts w:asciiTheme="majorBidi" w:hAnsiTheme="majorBidi" w:cstheme="majorBidi"/>
          <w:lang w:val="en-GB"/>
        </w:rPr>
        <w:t xml:space="preserve">Agenda 2063. The National Development Plan (NDP) draws on these commitments and establishes three priorities: (a) human capital development; (b) economic diversification; (c) infrastructure development. Drawing on </w:t>
      </w:r>
      <w:r w:rsidR="00516574" w:rsidRPr="001005A8">
        <w:rPr>
          <w:rFonts w:asciiTheme="majorBidi" w:hAnsiTheme="majorBidi" w:cstheme="majorBidi"/>
          <w:lang w:val="en-GB"/>
        </w:rPr>
        <w:t>these</w:t>
      </w:r>
      <w:r w:rsidRPr="001005A8">
        <w:rPr>
          <w:rFonts w:asciiTheme="majorBidi" w:hAnsiTheme="majorBidi" w:cstheme="majorBidi"/>
          <w:lang w:val="en-GB"/>
        </w:rPr>
        <w:t>,</w:t>
      </w:r>
      <w:r w:rsidR="00516574" w:rsidRPr="001005A8">
        <w:rPr>
          <w:rFonts w:asciiTheme="majorBidi" w:hAnsiTheme="majorBidi" w:cstheme="majorBidi"/>
          <w:lang w:val="en-GB"/>
        </w:rPr>
        <w:t xml:space="preserve"> and</w:t>
      </w:r>
      <w:r w:rsidRPr="001005A8">
        <w:rPr>
          <w:rFonts w:asciiTheme="majorBidi" w:hAnsiTheme="majorBidi" w:cstheme="majorBidi"/>
          <w:lang w:val="en-GB"/>
        </w:rPr>
        <w:t xml:space="preserve"> by adopting and strengthening its role as a convener, integrator, and strategic partnership promoter with partners </w:t>
      </w:r>
      <w:r w:rsidR="00516574" w:rsidRPr="001005A8">
        <w:rPr>
          <w:rFonts w:asciiTheme="majorBidi" w:hAnsiTheme="majorBidi" w:cstheme="majorBidi"/>
          <w:lang w:val="en-GB"/>
        </w:rPr>
        <w:t>like i</w:t>
      </w:r>
      <w:r w:rsidRPr="001005A8">
        <w:rPr>
          <w:rFonts w:asciiTheme="majorBidi" w:hAnsiTheme="majorBidi" w:cstheme="majorBidi"/>
          <w:lang w:val="en-GB"/>
        </w:rPr>
        <w:t xml:space="preserve">nternational </w:t>
      </w:r>
      <w:r w:rsidR="00516574" w:rsidRPr="001005A8">
        <w:rPr>
          <w:rFonts w:asciiTheme="majorBidi" w:hAnsiTheme="majorBidi" w:cstheme="majorBidi"/>
          <w:lang w:val="en-GB"/>
        </w:rPr>
        <w:t>f</w:t>
      </w:r>
      <w:r w:rsidRPr="001005A8">
        <w:rPr>
          <w:rFonts w:asciiTheme="majorBidi" w:hAnsiTheme="majorBidi" w:cstheme="majorBidi"/>
          <w:lang w:val="en-GB"/>
        </w:rPr>
        <w:t xml:space="preserve">inancial </w:t>
      </w:r>
      <w:r w:rsidR="00516574" w:rsidRPr="001005A8">
        <w:rPr>
          <w:rFonts w:asciiTheme="majorBidi" w:hAnsiTheme="majorBidi" w:cstheme="majorBidi"/>
          <w:lang w:val="en-GB"/>
        </w:rPr>
        <w:t>i</w:t>
      </w:r>
      <w:r w:rsidRPr="001005A8">
        <w:rPr>
          <w:rFonts w:asciiTheme="majorBidi" w:hAnsiTheme="majorBidi" w:cstheme="majorBidi"/>
          <w:lang w:val="en-GB"/>
        </w:rPr>
        <w:t xml:space="preserve">nstitutions (IFIs), UNDP will continue to foster inter-agency programming and strategic dialogue to tackle complex and systemic development challenges. UNDP is a trusted government partner that supports and complements the United Nations system-wide efforts under the UNSDCF. </w:t>
      </w:r>
    </w:p>
    <w:p w14:paraId="1937EB5F" w14:textId="77777777" w:rsidR="00974AA7" w:rsidRPr="001005A8" w:rsidRDefault="00974AA7" w:rsidP="00974AA7">
      <w:pPr>
        <w:pStyle w:val="ListParagraph"/>
        <w:ind w:left="993" w:right="713"/>
        <w:rPr>
          <w:rFonts w:asciiTheme="majorBidi" w:hAnsiTheme="majorBidi" w:cstheme="majorBidi"/>
          <w:lang w:val="en-GB"/>
        </w:rPr>
      </w:pPr>
    </w:p>
    <w:p w14:paraId="114D5D4D" w14:textId="6C3DE711"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Drawing on the principle of </w:t>
      </w:r>
      <w:r w:rsidR="00516574" w:rsidRPr="001005A8">
        <w:rPr>
          <w:rFonts w:asciiTheme="majorBidi" w:hAnsiTheme="majorBidi" w:cstheme="majorBidi"/>
          <w:lang w:val="en-GB"/>
        </w:rPr>
        <w:t>l</w:t>
      </w:r>
      <w:r w:rsidRPr="001005A8">
        <w:rPr>
          <w:rFonts w:asciiTheme="majorBidi" w:hAnsiTheme="majorBidi" w:cstheme="majorBidi"/>
          <w:lang w:val="en-GB"/>
        </w:rPr>
        <w:t xml:space="preserve">eave </w:t>
      </w:r>
      <w:r w:rsidR="00516574" w:rsidRPr="001005A8">
        <w:rPr>
          <w:rFonts w:asciiTheme="majorBidi" w:hAnsiTheme="majorBidi" w:cstheme="majorBidi"/>
          <w:lang w:val="en-GB"/>
        </w:rPr>
        <w:t>n</w:t>
      </w:r>
      <w:r w:rsidRPr="001005A8">
        <w:rPr>
          <w:rFonts w:asciiTheme="majorBidi" w:hAnsiTheme="majorBidi" w:cstheme="majorBidi"/>
          <w:lang w:val="en-GB"/>
        </w:rPr>
        <w:t xml:space="preserve">o </w:t>
      </w:r>
      <w:r w:rsidR="00516574" w:rsidRPr="001005A8">
        <w:rPr>
          <w:rFonts w:asciiTheme="majorBidi" w:hAnsiTheme="majorBidi" w:cstheme="majorBidi"/>
          <w:lang w:val="en-GB"/>
        </w:rPr>
        <w:t>o</w:t>
      </w:r>
      <w:r w:rsidRPr="001005A8">
        <w:rPr>
          <w:rFonts w:asciiTheme="majorBidi" w:hAnsiTheme="majorBidi" w:cstheme="majorBidi"/>
          <w:lang w:val="en-GB"/>
        </w:rPr>
        <w:t xml:space="preserve">ne </w:t>
      </w:r>
      <w:r w:rsidR="00516574" w:rsidRPr="001005A8">
        <w:rPr>
          <w:rFonts w:asciiTheme="majorBidi" w:hAnsiTheme="majorBidi" w:cstheme="majorBidi"/>
          <w:lang w:val="en-GB"/>
        </w:rPr>
        <w:t>b</w:t>
      </w:r>
      <w:r w:rsidRPr="001005A8">
        <w:rPr>
          <w:rFonts w:asciiTheme="majorBidi" w:hAnsiTheme="majorBidi" w:cstheme="majorBidi"/>
          <w:lang w:val="en-GB"/>
        </w:rPr>
        <w:t xml:space="preserve">ehind, UNDP will mainstream a human </w:t>
      </w:r>
      <w:r w:rsidR="001005A8" w:rsidRPr="001005A8">
        <w:rPr>
          <w:rFonts w:asciiTheme="majorBidi" w:hAnsiTheme="majorBidi" w:cstheme="majorBidi"/>
          <w:lang w:val="en-GB"/>
        </w:rPr>
        <w:t>rights-based</w:t>
      </w:r>
      <w:r w:rsidR="00E742A6" w:rsidRPr="001005A8">
        <w:rPr>
          <w:rFonts w:asciiTheme="majorBidi" w:hAnsiTheme="majorBidi" w:cstheme="majorBidi"/>
          <w:lang w:val="en-GB"/>
        </w:rPr>
        <w:t xml:space="preserve"> approach</w:t>
      </w:r>
      <w:r w:rsidR="00516574" w:rsidRPr="001005A8">
        <w:rPr>
          <w:rFonts w:asciiTheme="majorBidi" w:hAnsiTheme="majorBidi" w:cstheme="majorBidi"/>
          <w:lang w:val="en-GB"/>
        </w:rPr>
        <w:t xml:space="preserve"> and</w:t>
      </w:r>
      <w:r w:rsidRPr="001005A8">
        <w:rPr>
          <w:rFonts w:asciiTheme="majorBidi" w:hAnsiTheme="majorBidi" w:cstheme="majorBidi"/>
          <w:lang w:val="en-GB"/>
        </w:rPr>
        <w:t xml:space="preserve"> promote gender equality and women’s empowerment (GEWE) across the programme by improving access to health and social services, economic empowerment and resilience to climate change, including promotion of greater participation of youth, women and vulnerable populations in decision-making. At national and sub-national levels, UNDP will promote effective, accountable and gender-responsive governance mechanisms to consolidate efficiency and transparency in public policy, build trust and support social cohesion. </w:t>
      </w:r>
    </w:p>
    <w:p w14:paraId="600118E1" w14:textId="77777777" w:rsidR="00974AA7" w:rsidRPr="001005A8" w:rsidRDefault="00974AA7" w:rsidP="00974AA7">
      <w:pPr>
        <w:pStyle w:val="ListParagraph"/>
        <w:ind w:left="993" w:right="713"/>
        <w:rPr>
          <w:rFonts w:asciiTheme="majorBidi" w:hAnsiTheme="majorBidi" w:cstheme="majorBidi"/>
          <w:lang w:val="en-GB"/>
        </w:rPr>
      </w:pPr>
    </w:p>
    <w:p w14:paraId="25245BA3" w14:textId="2D1BF3FF" w:rsidR="00974AA7" w:rsidRPr="001005A8" w:rsidRDefault="00974AA7" w:rsidP="0004265D">
      <w:pPr>
        <w:pStyle w:val="ListParagraph"/>
        <w:numPr>
          <w:ilvl w:val="0"/>
          <w:numId w:val="1"/>
        </w:numPr>
        <w:ind w:left="993" w:right="713" w:firstLine="0"/>
        <w:jc w:val="both"/>
        <w:rPr>
          <w:rFonts w:asciiTheme="majorBidi" w:hAnsiTheme="majorBidi" w:cstheme="majorBidi"/>
          <w:color w:val="000000" w:themeColor="text1"/>
          <w:lang w:val="en-GB"/>
        </w:rPr>
      </w:pPr>
      <w:r w:rsidRPr="001005A8">
        <w:rPr>
          <w:rFonts w:asciiTheme="majorBidi" w:hAnsiTheme="majorBidi" w:cstheme="majorBidi"/>
          <w:lang w:val="en-GB"/>
        </w:rPr>
        <w:t>UNDP will include a portfolio approach through systems thinking in programme implementation. This will boost agility and impact across its priorities, programmatically and operationally, while reducing fragmentation and promoting synergies across programmes and projects. The programme will consist of four interrelated outcomes.</w:t>
      </w:r>
    </w:p>
    <w:p w14:paraId="7EDC4544" w14:textId="77777777" w:rsidR="00974AA7" w:rsidRPr="001005A8" w:rsidRDefault="00974AA7" w:rsidP="00974AA7">
      <w:pPr>
        <w:pStyle w:val="ListParagraph"/>
        <w:ind w:left="993" w:right="713"/>
        <w:rPr>
          <w:rFonts w:asciiTheme="majorBidi" w:hAnsiTheme="majorBidi" w:cstheme="majorBidi"/>
          <w:lang w:val="en-GB"/>
        </w:rPr>
      </w:pPr>
    </w:p>
    <w:p w14:paraId="635A45BA" w14:textId="144ADCE8"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As evidenced in the 2021 independent country programme evaluation, UNDP made significant contributions to national HIV, </w:t>
      </w:r>
      <w:r w:rsidR="00EC004C" w:rsidRPr="001005A8">
        <w:rPr>
          <w:rFonts w:asciiTheme="majorBidi" w:hAnsiTheme="majorBidi" w:cstheme="majorBidi"/>
          <w:lang w:val="en-GB"/>
        </w:rPr>
        <w:t>t</w:t>
      </w:r>
      <w:r w:rsidRPr="001005A8">
        <w:rPr>
          <w:rFonts w:asciiTheme="majorBidi" w:hAnsiTheme="majorBidi" w:cstheme="majorBidi"/>
          <w:lang w:val="en-GB"/>
        </w:rPr>
        <w:t xml:space="preserve">uberculosis and </w:t>
      </w:r>
      <w:r w:rsidR="00EC004C" w:rsidRPr="001005A8">
        <w:rPr>
          <w:rFonts w:asciiTheme="majorBidi" w:hAnsiTheme="majorBidi" w:cstheme="majorBidi"/>
          <w:lang w:val="en-GB"/>
        </w:rPr>
        <w:t>m</w:t>
      </w:r>
      <w:r w:rsidRPr="001005A8">
        <w:rPr>
          <w:rFonts w:asciiTheme="majorBidi" w:hAnsiTheme="majorBidi" w:cstheme="majorBidi"/>
          <w:lang w:val="en-GB"/>
        </w:rPr>
        <w:t>alaria</w:t>
      </w:r>
      <w:r w:rsidR="00EC004C" w:rsidRPr="001005A8">
        <w:rPr>
          <w:rFonts w:asciiTheme="majorBidi" w:hAnsiTheme="majorBidi" w:cstheme="majorBidi"/>
          <w:lang w:val="en-GB"/>
        </w:rPr>
        <w:t xml:space="preserve"> responses</w:t>
      </w:r>
      <w:r w:rsidRPr="001005A8">
        <w:rPr>
          <w:rFonts w:asciiTheme="majorBidi" w:hAnsiTheme="majorBidi" w:cstheme="majorBidi"/>
          <w:lang w:val="en-GB"/>
        </w:rPr>
        <w:t xml:space="preserve">; </w:t>
      </w:r>
      <w:r w:rsidR="00EC004C" w:rsidRPr="001005A8">
        <w:rPr>
          <w:rFonts w:asciiTheme="majorBidi" w:hAnsiTheme="majorBidi" w:cstheme="majorBidi"/>
          <w:lang w:val="en-GB"/>
        </w:rPr>
        <w:t xml:space="preserve">in promoting </w:t>
      </w:r>
      <w:r w:rsidRPr="001005A8">
        <w:rPr>
          <w:rFonts w:asciiTheme="majorBidi" w:hAnsiTheme="majorBidi" w:cstheme="majorBidi"/>
          <w:lang w:val="en-GB"/>
        </w:rPr>
        <w:t>micro, small and medium-sized enterprises (MSMEs); youth skills development; environmental protection, climate action and disaster risk reduction; governance and institutional strengthening</w:t>
      </w:r>
      <w:r w:rsidR="00EC004C" w:rsidRPr="001005A8">
        <w:rPr>
          <w:rFonts w:asciiTheme="majorBidi" w:hAnsiTheme="majorBidi" w:cstheme="majorBidi"/>
          <w:lang w:val="en-GB"/>
        </w:rPr>
        <w:t>,</w:t>
      </w:r>
      <w:r w:rsidRPr="001005A8">
        <w:rPr>
          <w:rFonts w:asciiTheme="majorBidi" w:hAnsiTheme="majorBidi" w:cstheme="majorBidi"/>
          <w:lang w:val="en-GB"/>
        </w:rPr>
        <w:t xml:space="preserve"> and promotion of GEWE. </w:t>
      </w:r>
      <w:r w:rsidR="00EC004C" w:rsidRPr="001005A8">
        <w:rPr>
          <w:rFonts w:asciiTheme="majorBidi" w:hAnsiTheme="majorBidi" w:cstheme="majorBidi"/>
          <w:lang w:val="en-GB"/>
        </w:rPr>
        <w:t xml:space="preserve">Moreover, </w:t>
      </w:r>
      <w:r w:rsidRPr="001005A8">
        <w:rPr>
          <w:rFonts w:asciiTheme="majorBidi" w:hAnsiTheme="majorBidi" w:cstheme="majorBidi"/>
          <w:lang w:val="en-GB"/>
        </w:rPr>
        <w:t xml:space="preserve">UNDP played </w:t>
      </w:r>
      <w:r w:rsidR="00EC004C" w:rsidRPr="001005A8">
        <w:rPr>
          <w:rFonts w:asciiTheme="majorBidi" w:hAnsiTheme="majorBidi" w:cstheme="majorBidi"/>
          <w:lang w:val="en-GB"/>
        </w:rPr>
        <w:t xml:space="preserve">a </w:t>
      </w:r>
      <w:r w:rsidRPr="001005A8">
        <w:rPr>
          <w:rFonts w:asciiTheme="majorBidi" w:hAnsiTheme="majorBidi" w:cstheme="majorBidi"/>
          <w:lang w:val="en-GB"/>
        </w:rPr>
        <w:t xml:space="preserve">key integrator and thought leadership roles in preparing the United Nations </w:t>
      </w:r>
      <w:r w:rsidR="00EC004C" w:rsidRPr="001005A8">
        <w:rPr>
          <w:rFonts w:asciiTheme="majorBidi" w:hAnsiTheme="majorBidi" w:cstheme="majorBidi"/>
          <w:lang w:val="en-GB"/>
        </w:rPr>
        <w:t>COVID</w:t>
      </w:r>
      <w:r w:rsidRPr="001005A8">
        <w:rPr>
          <w:rFonts w:asciiTheme="majorBidi" w:hAnsiTheme="majorBidi" w:cstheme="majorBidi"/>
          <w:lang w:val="en-GB"/>
        </w:rPr>
        <w:t xml:space="preserve">-19 Socio-Economic Response Plan. UNDP delivered its country programme despite restrictions imposed by the pandemic. UNDP demonstrated its comparative advantage in the mobilization, implementation and effective governance of the national response to HIV, </w:t>
      </w:r>
      <w:r w:rsidR="00EC004C" w:rsidRPr="001005A8">
        <w:rPr>
          <w:rFonts w:asciiTheme="majorBidi" w:hAnsiTheme="majorBidi" w:cstheme="majorBidi"/>
          <w:lang w:val="en-GB"/>
        </w:rPr>
        <w:t>t</w:t>
      </w:r>
      <w:r w:rsidRPr="001005A8">
        <w:rPr>
          <w:rFonts w:asciiTheme="majorBidi" w:hAnsiTheme="majorBidi" w:cstheme="majorBidi"/>
          <w:lang w:val="en-GB"/>
        </w:rPr>
        <w:t xml:space="preserve">uberculosis, </w:t>
      </w:r>
      <w:r w:rsidR="00EC004C" w:rsidRPr="001005A8">
        <w:rPr>
          <w:rFonts w:asciiTheme="majorBidi" w:hAnsiTheme="majorBidi" w:cstheme="majorBidi"/>
          <w:lang w:val="en-GB"/>
        </w:rPr>
        <w:t>m</w:t>
      </w:r>
      <w:r w:rsidRPr="001005A8">
        <w:rPr>
          <w:rFonts w:asciiTheme="majorBidi" w:hAnsiTheme="majorBidi" w:cstheme="majorBidi"/>
          <w:lang w:val="en-GB"/>
        </w:rPr>
        <w:t xml:space="preserve">alaria and </w:t>
      </w:r>
      <w:r w:rsidR="00EC004C" w:rsidRPr="001005A8">
        <w:rPr>
          <w:rFonts w:asciiTheme="majorBidi" w:hAnsiTheme="majorBidi" w:cstheme="majorBidi"/>
          <w:lang w:val="en-GB"/>
        </w:rPr>
        <w:t>COVID</w:t>
      </w:r>
      <w:r w:rsidRPr="001005A8">
        <w:rPr>
          <w:rFonts w:asciiTheme="majorBidi" w:hAnsiTheme="majorBidi" w:cstheme="majorBidi"/>
          <w:lang w:val="en-GB"/>
        </w:rPr>
        <w:t xml:space="preserve">-19. </w:t>
      </w:r>
    </w:p>
    <w:p w14:paraId="1931CC83" w14:textId="77777777" w:rsidR="00974AA7" w:rsidRPr="001005A8" w:rsidRDefault="00974AA7" w:rsidP="00974AA7">
      <w:pPr>
        <w:pStyle w:val="ListParagraph"/>
        <w:ind w:left="993" w:right="713"/>
        <w:rPr>
          <w:rFonts w:asciiTheme="majorBidi" w:hAnsiTheme="majorBidi" w:cstheme="majorBidi"/>
          <w:lang w:val="en-GB"/>
        </w:rPr>
      </w:pPr>
    </w:p>
    <w:p w14:paraId="267F6C32" w14:textId="0BA669B4"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Key lessons learned from the 2020-2023 country programme informed the proposed programme as follows: (a) </w:t>
      </w:r>
      <w:r w:rsidR="00EC004C" w:rsidRPr="001005A8">
        <w:rPr>
          <w:rFonts w:asciiTheme="majorBidi" w:hAnsiTheme="majorBidi" w:cstheme="majorBidi"/>
          <w:lang w:val="en-GB"/>
        </w:rPr>
        <w:t xml:space="preserve">support </w:t>
      </w:r>
      <w:r w:rsidRPr="001005A8">
        <w:rPr>
          <w:rFonts w:asciiTheme="majorBidi" w:hAnsiTheme="majorBidi" w:cstheme="majorBidi"/>
          <w:lang w:val="en-GB"/>
        </w:rPr>
        <w:t>the current trend of bolstering UNDP sub-national delivery and presence in the provinces</w:t>
      </w:r>
      <w:r w:rsidR="00EC004C" w:rsidRPr="001005A8">
        <w:rPr>
          <w:rFonts w:asciiTheme="majorBidi" w:hAnsiTheme="majorBidi" w:cstheme="majorBidi"/>
          <w:lang w:val="en-GB"/>
        </w:rPr>
        <w:t>,</w:t>
      </w:r>
      <w:r w:rsidRPr="001005A8">
        <w:rPr>
          <w:rFonts w:asciiTheme="majorBidi" w:hAnsiTheme="majorBidi" w:cstheme="majorBidi"/>
          <w:lang w:val="en-GB"/>
        </w:rPr>
        <w:t xml:space="preserve"> (b) focus on health, under the health and social services-related Outcome, to ensure effective implementation of significant funding managed by UNDP on behalf of the </w:t>
      </w:r>
      <w:r w:rsidR="000C3CC4" w:rsidRPr="001005A8">
        <w:rPr>
          <w:rFonts w:asciiTheme="majorBidi" w:hAnsiTheme="majorBidi" w:cstheme="majorBidi"/>
          <w:lang w:val="en-GB"/>
        </w:rPr>
        <w:t>g</w:t>
      </w:r>
      <w:r w:rsidRPr="001005A8">
        <w:rPr>
          <w:rFonts w:asciiTheme="majorBidi" w:hAnsiTheme="majorBidi" w:cstheme="majorBidi"/>
          <w:lang w:val="en-GB"/>
        </w:rPr>
        <w:t>overnment and the Angolan population</w:t>
      </w:r>
      <w:r w:rsidR="00EC004C" w:rsidRPr="001005A8">
        <w:rPr>
          <w:rFonts w:asciiTheme="majorBidi" w:hAnsiTheme="majorBidi" w:cstheme="majorBidi"/>
          <w:lang w:val="en-GB"/>
        </w:rPr>
        <w:t>, and</w:t>
      </w:r>
      <w:r w:rsidRPr="001005A8">
        <w:rPr>
          <w:rFonts w:asciiTheme="majorBidi" w:hAnsiTheme="majorBidi" w:cstheme="majorBidi"/>
          <w:lang w:val="en-GB"/>
        </w:rPr>
        <w:t xml:space="preserve"> (c) deepen its portfolio approach through systems thinking</w:t>
      </w:r>
      <w:r w:rsidR="00EC004C" w:rsidRPr="001005A8">
        <w:rPr>
          <w:rFonts w:asciiTheme="majorBidi" w:hAnsiTheme="majorBidi" w:cstheme="majorBidi"/>
          <w:lang w:val="en-GB"/>
        </w:rPr>
        <w:t xml:space="preserve"> </w:t>
      </w:r>
      <w:r w:rsidRPr="001005A8">
        <w:rPr>
          <w:rFonts w:asciiTheme="majorBidi" w:hAnsiTheme="majorBidi" w:cstheme="majorBidi"/>
          <w:lang w:val="en-GB"/>
        </w:rPr>
        <w:t xml:space="preserve">focused on </w:t>
      </w:r>
      <w:r w:rsidR="00EC004C" w:rsidRPr="001005A8">
        <w:rPr>
          <w:rFonts w:asciiTheme="majorBidi" w:hAnsiTheme="majorBidi" w:cstheme="majorBidi"/>
          <w:lang w:val="en-GB"/>
        </w:rPr>
        <w:t>the f</w:t>
      </w:r>
      <w:r w:rsidRPr="001005A8">
        <w:rPr>
          <w:rFonts w:asciiTheme="majorBidi" w:hAnsiTheme="majorBidi" w:cstheme="majorBidi"/>
          <w:lang w:val="en-GB"/>
        </w:rPr>
        <w:t xml:space="preserve">uture of </w:t>
      </w:r>
      <w:r w:rsidR="00EC004C" w:rsidRPr="001005A8">
        <w:rPr>
          <w:rFonts w:asciiTheme="majorBidi" w:hAnsiTheme="majorBidi" w:cstheme="majorBidi"/>
          <w:lang w:val="en-GB"/>
        </w:rPr>
        <w:t>w</w:t>
      </w:r>
      <w:r w:rsidRPr="001005A8">
        <w:rPr>
          <w:rFonts w:asciiTheme="majorBidi" w:hAnsiTheme="majorBidi" w:cstheme="majorBidi"/>
          <w:lang w:val="en-GB"/>
        </w:rPr>
        <w:t xml:space="preserve">ork and </w:t>
      </w:r>
      <w:r w:rsidR="00EC004C" w:rsidRPr="001005A8">
        <w:rPr>
          <w:rFonts w:asciiTheme="majorBidi" w:hAnsiTheme="majorBidi" w:cstheme="majorBidi"/>
          <w:lang w:val="en-GB"/>
        </w:rPr>
        <w:t>i</w:t>
      </w:r>
      <w:r w:rsidRPr="001005A8">
        <w:rPr>
          <w:rFonts w:asciiTheme="majorBidi" w:hAnsiTheme="majorBidi" w:cstheme="majorBidi"/>
          <w:lang w:val="en-GB"/>
        </w:rPr>
        <w:t>nformal</w:t>
      </w:r>
      <w:r w:rsidR="001D089D" w:rsidRPr="001005A8">
        <w:rPr>
          <w:rFonts w:asciiTheme="majorBidi" w:hAnsiTheme="majorBidi" w:cstheme="majorBidi"/>
          <w:lang w:val="en-GB"/>
        </w:rPr>
        <w:t xml:space="preserve"> economy</w:t>
      </w:r>
      <w:r w:rsidRPr="001005A8">
        <w:rPr>
          <w:rFonts w:asciiTheme="majorBidi" w:hAnsiTheme="majorBidi" w:cstheme="majorBidi"/>
          <w:lang w:val="en-GB"/>
        </w:rPr>
        <w:t xml:space="preserve">. </w:t>
      </w:r>
    </w:p>
    <w:p w14:paraId="01669342" w14:textId="77777777" w:rsidR="00974AA7" w:rsidRPr="001005A8" w:rsidRDefault="00974AA7" w:rsidP="00974AA7">
      <w:pPr>
        <w:pStyle w:val="ListParagraph"/>
        <w:ind w:left="993" w:right="713"/>
        <w:rPr>
          <w:rFonts w:asciiTheme="majorBidi" w:hAnsiTheme="majorBidi" w:cstheme="majorBidi"/>
          <w:lang w:val="en-GB"/>
        </w:rPr>
      </w:pPr>
    </w:p>
    <w:p w14:paraId="572BFD54" w14:textId="792CE80C"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Other lessons include: (d) ensuring efficient and effective resource mobilization, especially from </w:t>
      </w:r>
      <w:r w:rsidR="000C3CC4" w:rsidRPr="001005A8">
        <w:rPr>
          <w:rFonts w:asciiTheme="majorBidi" w:hAnsiTheme="majorBidi" w:cstheme="majorBidi"/>
          <w:lang w:val="en-GB"/>
        </w:rPr>
        <w:t>g</w:t>
      </w:r>
      <w:r w:rsidRPr="001005A8">
        <w:rPr>
          <w:rFonts w:asciiTheme="majorBidi" w:hAnsiTheme="majorBidi" w:cstheme="majorBidi"/>
          <w:lang w:val="en-GB"/>
        </w:rPr>
        <w:t>overnment cost-sharing, IFIs and development partners; (e) consolidating UNDP’s integrator and convener role to promote the mainstreaming and acceleration of the Sustainable Development Goals into sector policies, strategies, and programmes; (f) fostering private sector development by focusing on MSMEs, including agriculture and informality</w:t>
      </w:r>
      <w:r w:rsidR="00EC004C" w:rsidRPr="001005A8">
        <w:rPr>
          <w:rFonts w:asciiTheme="majorBidi" w:hAnsiTheme="majorBidi" w:cstheme="majorBidi"/>
          <w:lang w:val="en-GB"/>
        </w:rPr>
        <w:t>,</w:t>
      </w:r>
      <w:r w:rsidRPr="001005A8">
        <w:rPr>
          <w:rFonts w:asciiTheme="majorBidi" w:hAnsiTheme="majorBidi" w:cstheme="majorBidi"/>
          <w:lang w:val="en-GB"/>
        </w:rPr>
        <w:t xml:space="preserve"> and </w:t>
      </w:r>
      <w:r w:rsidR="009B3377" w:rsidRPr="001005A8">
        <w:rPr>
          <w:rFonts w:asciiTheme="majorBidi" w:hAnsiTheme="majorBidi" w:cstheme="majorBidi"/>
          <w:lang w:val="en-GB"/>
        </w:rPr>
        <w:t xml:space="preserve">                                     </w:t>
      </w:r>
      <w:r w:rsidRPr="001005A8">
        <w:rPr>
          <w:rFonts w:asciiTheme="majorBidi" w:hAnsiTheme="majorBidi" w:cstheme="majorBidi"/>
          <w:lang w:val="en-GB"/>
        </w:rPr>
        <w:t>(g) strengthening support to environmental protection, climate action and disaster risk reduction.</w:t>
      </w:r>
    </w:p>
    <w:p w14:paraId="4DA25BC1" w14:textId="77777777" w:rsidR="00974AA7" w:rsidRPr="001005A8" w:rsidRDefault="00974AA7" w:rsidP="00974AA7">
      <w:pPr>
        <w:ind w:left="993" w:right="713"/>
        <w:jc w:val="both"/>
        <w:rPr>
          <w:rFonts w:asciiTheme="majorBidi" w:hAnsiTheme="majorBidi" w:cstheme="majorBidi"/>
          <w:lang w:val="en-GB"/>
        </w:rPr>
      </w:pPr>
    </w:p>
    <w:p w14:paraId="68A6D10E" w14:textId="55990218" w:rsidR="00974AA7" w:rsidRPr="001005A8" w:rsidRDefault="00974AA7" w:rsidP="00974AA7">
      <w:pPr>
        <w:pStyle w:val="Heading2"/>
        <w:ind w:left="993" w:right="713" w:hanging="426"/>
        <w:jc w:val="both"/>
        <w:rPr>
          <w:rFonts w:asciiTheme="majorBidi" w:hAnsiTheme="majorBidi" w:cstheme="majorBidi"/>
          <w:color w:val="000000" w:themeColor="text1"/>
          <w:sz w:val="24"/>
          <w:szCs w:val="24"/>
          <w:lang w:val="en-GB"/>
        </w:rPr>
      </w:pPr>
      <w:r w:rsidRPr="001005A8">
        <w:rPr>
          <w:rFonts w:asciiTheme="majorBidi" w:hAnsiTheme="majorBidi" w:cstheme="majorBidi"/>
          <w:color w:val="000000" w:themeColor="text1"/>
          <w:sz w:val="24"/>
          <w:szCs w:val="24"/>
          <w:lang w:val="en-GB"/>
        </w:rPr>
        <w:t xml:space="preserve">II. </w:t>
      </w:r>
      <w:r w:rsidRPr="001005A8">
        <w:rPr>
          <w:rFonts w:asciiTheme="majorBidi" w:hAnsiTheme="majorBidi" w:cstheme="majorBidi"/>
          <w:color w:val="000000" w:themeColor="text1"/>
          <w:sz w:val="24"/>
          <w:szCs w:val="24"/>
          <w:lang w:val="en-GB"/>
        </w:rPr>
        <w:tab/>
        <w:t xml:space="preserve">Programme </w:t>
      </w:r>
      <w:r w:rsidR="004A7826" w:rsidRPr="001005A8">
        <w:rPr>
          <w:rFonts w:asciiTheme="majorBidi" w:hAnsiTheme="majorBidi" w:cstheme="majorBidi"/>
          <w:color w:val="000000" w:themeColor="text1"/>
          <w:sz w:val="24"/>
          <w:szCs w:val="24"/>
          <w:lang w:val="en-GB"/>
        </w:rPr>
        <w:t>p</w:t>
      </w:r>
      <w:r w:rsidRPr="001005A8">
        <w:rPr>
          <w:rFonts w:asciiTheme="majorBidi" w:hAnsiTheme="majorBidi" w:cstheme="majorBidi"/>
          <w:color w:val="000000" w:themeColor="text1"/>
          <w:sz w:val="24"/>
          <w:szCs w:val="24"/>
          <w:lang w:val="en-GB"/>
        </w:rPr>
        <w:t xml:space="preserve">riorities and </w:t>
      </w:r>
      <w:r w:rsidR="004A7826" w:rsidRPr="001005A8">
        <w:rPr>
          <w:rFonts w:asciiTheme="majorBidi" w:hAnsiTheme="majorBidi" w:cstheme="majorBidi"/>
          <w:color w:val="000000" w:themeColor="text1"/>
          <w:sz w:val="24"/>
          <w:szCs w:val="24"/>
          <w:lang w:val="en-GB"/>
        </w:rPr>
        <w:t>p</w:t>
      </w:r>
      <w:r w:rsidRPr="001005A8">
        <w:rPr>
          <w:rFonts w:asciiTheme="majorBidi" w:hAnsiTheme="majorBidi" w:cstheme="majorBidi"/>
          <w:color w:val="000000" w:themeColor="text1"/>
          <w:sz w:val="24"/>
          <w:szCs w:val="24"/>
          <w:lang w:val="en-GB"/>
        </w:rPr>
        <w:t xml:space="preserve">artnerships </w:t>
      </w:r>
    </w:p>
    <w:p w14:paraId="62AEED09" w14:textId="77777777" w:rsidR="00974AA7" w:rsidRPr="001005A8" w:rsidRDefault="00974AA7" w:rsidP="00974AA7">
      <w:pPr>
        <w:ind w:left="993" w:right="713"/>
        <w:rPr>
          <w:rFonts w:asciiTheme="majorBidi" w:hAnsiTheme="majorBidi" w:cstheme="majorBidi"/>
          <w:color w:val="C00000"/>
          <w:lang w:val="en-GB"/>
        </w:rPr>
      </w:pPr>
    </w:p>
    <w:p w14:paraId="6BC86223" w14:textId="0011DEB0"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Grounded </w:t>
      </w:r>
      <w:r w:rsidR="00EC004C" w:rsidRPr="001005A8">
        <w:rPr>
          <w:rFonts w:asciiTheme="majorBidi" w:hAnsiTheme="majorBidi" w:cstheme="majorBidi"/>
          <w:lang w:val="en-GB"/>
        </w:rPr>
        <w:t xml:space="preserve">in </w:t>
      </w:r>
      <w:r w:rsidRPr="001005A8">
        <w:rPr>
          <w:rFonts w:asciiTheme="majorBidi" w:hAnsiTheme="majorBidi" w:cstheme="majorBidi"/>
          <w:lang w:val="en-GB"/>
        </w:rPr>
        <w:t xml:space="preserve">the UNSDCF, the overarching vision of the country programme is an empowered, peaceful, democratic and resilient Angola, where all people participate and benefit from </w:t>
      </w:r>
      <w:r w:rsidR="00EC004C" w:rsidRPr="001005A8">
        <w:rPr>
          <w:rFonts w:asciiTheme="majorBidi" w:hAnsiTheme="majorBidi" w:cstheme="majorBidi"/>
          <w:lang w:val="en-GB"/>
        </w:rPr>
        <w:t xml:space="preserve">the </w:t>
      </w:r>
      <w:r w:rsidRPr="001005A8">
        <w:rPr>
          <w:rFonts w:asciiTheme="majorBidi" w:hAnsiTheme="majorBidi" w:cstheme="majorBidi"/>
          <w:lang w:val="en-GB"/>
        </w:rPr>
        <w:t xml:space="preserve">equitable, inclusive and sustainable socioeconomic structural transformation of the country. The theory of change assumes a continuous and firm political commitment to foster economic diversification, human development, resilience to climate change and democratic governance. </w:t>
      </w:r>
    </w:p>
    <w:p w14:paraId="0169B9D3" w14:textId="77777777" w:rsidR="00974AA7" w:rsidRPr="001005A8" w:rsidRDefault="00974AA7" w:rsidP="00974AA7">
      <w:pPr>
        <w:pStyle w:val="ListParagraph"/>
        <w:ind w:left="993" w:right="713"/>
        <w:jc w:val="both"/>
        <w:rPr>
          <w:rFonts w:asciiTheme="majorBidi" w:hAnsiTheme="majorBidi" w:cstheme="majorBidi"/>
          <w:lang w:val="en-GB"/>
        </w:rPr>
      </w:pPr>
    </w:p>
    <w:p w14:paraId="500A96B6" w14:textId="0864B7B7"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The key objective is to impact the reduction of multidimensional poverty and inequality through improved health and well-being</w:t>
      </w:r>
      <w:r w:rsidR="00EC004C" w:rsidRPr="001005A8">
        <w:rPr>
          <w:rFonts w:asciiTheme="majorBidi" w:hAnsiTheme="majorBidi" w:cstheme="majorBidi"/>
          <w:lang w:val="en-GB"/>
        </w:rPr>
        <w:t>;</w:t>
      </w:r>
      <w:r w:rsidRPr="001005A8">
        <w:rPr>
          <w:rFonts w:asciiTheme="majorBidi" w:hAnsiTheme="majorBidi" w:cstheme="majorBidi"/>
          <w:lang w:val="en-GB"/>
        </w:rPr>
        <w:t xml:space="preserve"> inclusive, sustainable, </w:t>
      </w:r>
      <w:r w:rsidR="00EC004C" w:rsidRPr="001005A8">
        <w:rPr>
          <w:rFonts w:asciiTheme="majorBidi" w:hAnsiTheme="majorBidi" w:cstheme="majorBidi"/>
          <w:lang w:val="en-GB"/>
        </w:rPr>
        <w:t xml:space="preserve">and </w:t>
      </w:r>
      <w:r w:rsidRPr="001005A8">
        <w:rPr>
          <w:rFonts w:asciiTheme="majorBidi" w:hAnsiTheme="majorBidi" w:cstheme="majorBidi"/>
          <w:lang w:val="en-GB"/>
        </w:rPr>
        <w:t>resilient economic diversification and natural resource management</w:t>
      </w:r>
      <w:r w:rsidR="00EC004C" w:rsidRPr="001005A8">
        <w:rPr>
          <w:rFonts w:asciiTheme="majorBidi" w:hAnsiTheme="majorBidi" w:cstheme="majorBidi"/>
          <w:lang w:val="en-GB"/>
        </w:rPr>
        <w:t>;</w:t>
      </w:r>
      <w:r w:rsidRPr="001005A8">
        <w:rPr>
          <w:rFonts w:asciiTheme="majorBidi" w:hAnsiTheme="majorBidi" w:cstheme="majorBidi"/>
          <w:lang w:val="en-GB"/>
        </w:rPr>
        <w:t xml:space="preserve"> enhanced resilience to climate change and disasters, and stronger democratic governance leading to transformative change through a portfolio approach that leverage systems thinking </w:t>
      </w:r>
      <w:r w:rsidR="00EC004C" w:rsidRPr="001005A8">
        <w:rPr>
          <w:rFonts w:asciiTheme="majorBidi" w:hAnsiTheme="majorBidi" w:cstheme="majorBidi"/>
          <w:lang w:val="en-GB"/>
        </w:rPr>
        <w:t>centred</w:t>
      </w:r>
      <w:r w:rsidRPr="001005A8">
        <w:rPr>
          <w:rFonts w:asciiTheme="majorBidi" w:hAnsiTheme="majorBidi" w:cstheme="majorBidi"/>
          <w:lang w:val="en-GB"/>
        </w:rPr>
        <w:t xml:space="preserve"> on youth, women and vulnerable populations. GEWE, digitalization and innovation are crosscutting </w:t>
      </w:r>
      <w:r w:rsidR="00EC004C" w:rsidRPr="001005A8">
        <w:rPr>
          <w:rFonts w:asciiTheme="majorBidi" w:hAnsiTheme="majorBidi" w:cstheme="majorBidi"/>
          <w:lang w:val="en-GB"/>
        </w:rPr>
        <w:t xml:space="preserve">priorities in </w:t>
      </w:r>
      <w:r w:rsidRPr="001005A8">
        <w:rPr>
          <w:rFonts w:asciiTheme="majorBidi" w:hAnsiTheme="majorBidi" w:cstheme="majorBidi"/>
          <w:lang w:val="en-GB"/>
        </w:rPr>
        <w:t xml:space="preserve">programmatic </w:t>
      </w:r>
      <w:r w:rsidR="00EC004C" w:rsidRPr="001005A8">
        <w:rPr>
          <w:rFonts w:asciiTheme="majorBidi" w:hAnsiTheme="majorBidi" w:cstheme="majorBidi"/>
          <w:lang w:val="en-GB"/>
        </w:rPr>
        <w:t>areas</w:t>
      </w:r>
      <w:r w:rsidRPr="001005A8">
        <w:rPr>
          <w:rFonts w:asciiTheme="majorBidi" w:hAnsiTheme="majorBidi" w:cstheme="majorBidi"/>
          <w:lang w:val="en-GB"/>
        </w:rPr>
        <w:t xml:space="preserve">. </w:t>
      </w:r>
    </w:p>
    <w:p w14:paraId="4144B3C3" w14:textId="77777777" w:rsidR="00974AA7" w:rsidRPr="001005A8" w:rsidRDefault="00974AA7" w:rsidP="00974AA7">
      <w:pPr>
        <w:pStyle w:val="ListParagraph"/>
        <w:ind w:left="993" w:right="713"/>
        <w:jc w:val="both"/>
        <w:rPr>
          <w:rFonts w:asciiTheme="majorBidi" w:hAnsiTheme="majorBidi" w:cstheme="majorBidi"/>
          <w:lang w:val="en-GB"/>
        </w:rPr>
      </w:pPr>
    </w:p>
    <w:p w14:paraId="03B11783" w14:textId="08A728CA" w:rsidR="00974AA7" w:rsidRPr="001005A8" w:rsidRDefault="00EC004C"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The </w:t>
      </w:r>
      <w:r w:rsidR="00974AA7" w:rsidRPr="001005A8">
        <w:rPr>
          <w:rFonts w:asciiTheme="majorBidi" w:hAnsiTheme="majorBidi" w:cstheme="majorBidi"/>
          <w:lang w:val="en-GB"/>
        </w:rPr>
        <w:t xml:space="preserve">country programme is firmly anchored </w:t>
      </w:r>
      <w:r w:rsidRPr="001005A8">
        <w:rPr>
          <w:rFonts w:asciiTheme="majorBidi" w:hAnsiTheme="majorBidi" w:cstheme="majorBidi"/>
          <w:lang w:val="en-GB"/>
        </w:rPr>
        <w:t xml:space="preserve">in NDP </w:t>
      </w:r>
      <w:r w:rsidR="00974AA7" w:rsidRPr="001005A8">
        <w:rPr>
          <w:rFonts w:asciiTheme="majorBidi" w:hAnsiTheme="majorBidi" w:cstheme="majorBidi"/>
          <w:lang w:val="en-GB"/>
        </w:rPr>
        <w:t>priorities and aligned with the 2022-2025 UNDP Strategic Plan, 2022-2025 UNDP Gender Equality Strategy and UNDP Renewed Strategic Offer for Africa. It contributes to four outcomes of the 2024-2028 UNSDCF</w:t>
      </w:r>
      <w:r w:rsidRPr="001005A8">
        <w:rPr>
          <w:rFonts w:asciiTheme="majorBidi" w:hAnsiTheme="majorBidi" w:cstheme="majorBidi"/>
          <w:lang w:val="en-GB"/>
        </w:rPr>
        <w:t xml:space="preserve"> where</w:t>
      </w:r>
      <w:r w:rsidR="00974AA7" w:rsidRPr="001005A8">
        <w:rPr>
          <w:rFonts w:asciiTheme="majorBidi" w:hAnsiTheme="majorBidi" w:cstheme="majorBidi"/>
          <w:lang w:val="en-GB"/>
        </w:rPr>
        <w:t>, by 2028, more people, especially women, youth and the most vulnerable</w:t>
      </w:r>
      <w:r w:rsidRPr="001005A8">
        <w:rPr>
          <w:rFonts w:asciiTheme="majorBidi" w:hAnsiTheme="majorBidi" w:cstheme="majorBidi"/>
          <w:lang w:val="en-GB"/>
        </w:rPr>
        <w:t xml:space="preserve"> will</w:t>
      </w:r>
      <w:r w:rsidR="00974AA7" w:rsidRPr="001005A8">
        <w:rPr>
          <w:rFonts w:asciiTheme="majorBidi" w:hAnsiTheme="majorBidi" w:cstheme="majorBidi"/>
          <w:lang w:val="en-GB"/>
        </w:rPr>
        <w:t xml:space="preserve">: (a) use and have equitable access to quality social and productive services delivered by effective institutions; </w:t>
      </w:r>
      <w:r w:rsidR="00F22BC7" w:rsidRPr="001005A8">
        <w:rPr>
          <w:rFonts w:asciiTheme="majorBidi" w:hAnsiTheme="majorBidi" w:cstheme="majorBidi"/>
          <w:lang w:val="en-GB"/>
        </w:rPr>
        <w:t xml:space="preserve">              </w:t>
      </w:r>
      <w:r w:rsidR="00974AA7" w:rsidRPr="001005A8">
        <w:rPr>
          <w:rFonts w:asciiTheme="majorBidi" w:hAnsiTheme="majorBidi" w:cstheme="majorBidi"/>
          <w:lang w:val="en-GB"/>
        </w:rPr>
        <w:t>(b) participate in</w:t>
      </w:r>
      <w:r w:rsidRPr="001005A8">
        <w:rPr>
          <w:rFonts w:asciiTheme="majorBidi" w:hAnsiTheme="majorBidi" w:cstheme="majorBidi"/>
          <w:lang w:val="en-GB"/>
        </w:rPr>
        <w:t>,</w:t>
      </w:r>
      <w:r w:rsidR="00974AA7" w:rsidRPr="001005A8">
        <w:rPr>
          <w:rFonts w:asciiTheme="majorBidi" w:hAnsiTheme="majorBidi" w:cstheme="majorBidi"/>
          <w:lang w:val="en-GB"/>
        </w:rPr>
        <w:t xml:space="preserve"> and benefit from</w:t>
      </w:r>
      <w:r w:rsidRPr="001005A8">
        <w:rPr>
          <w:rFonts w:asciiTheme="majorBidi" w:hAnsiTheme="majorBidi" w:cstheme="majorBidi"/>
          <w:lang w:val="en-GB"/>
        </w:rPr>
        <w:t>,</w:t>
      </w:r>
      <w:r w:rsidR="00974AA7" w:rsidRPr="001005A8">
        <w:rPr>
          <w:rFonts w:asciiTheme="majorBidi" w:hAnsiTheme="majorBidi" w:cstheme="majorBidi"/>
          <w:lang w:val="en-GB"/>
        </w:rPr>
        <w:t xml:space="preserve"> more effective and inclusive democratic governance anchored on human rights, strengthening prevention capacities and promoting peace and security in the region; (c) participate in and benefit from more inclusive, diversified and sustainable economic growth</w:t>
      </w:r>
      <w:r w:rsidRPr="001005A8">
        <w:rPr>
          <w:rFonts w:asciiTheme="majorBidi" w:hAnsiTheme="majorBidi" w:cstheme="majorBidi"/>
          <w:lang w:val="en-GB"/>
        </w:rPr>
        <w:t>, and</w:t>
      </w:r>
      <w:r w:rsidR="00974AA7" w:rsidRPr="001005A8">
        <w:rPr>
          <w:rFonts w:asciiTheme="majorBidi" w:hAnsiTheme="majorBidi" w:cstheme="majorBidi"/>
          <w:lang w:val="en-GB"/>
        </w:rPr>
        <w:t xml:space="preserve"> (d) benefit from sustainable management of the environment and natural resources and are resilient to disasters and climate change.</w:t>
      </w:r>
    </w:p>
    <w:p w14:paraId="3BDF9DA2" w14:textId="77777777" w:rsidR="00974AA7" w:rsidRPr="001005A8" w:rsidRDefault="00974AA7" w:rsidP="00974AA7">
      <w:pPr>
        <w:pStyle w:val="ListParagraph"/>
        <w:spacing w:line="259" w:lineRule="auto"/>
        <w:ind w:left="993" w:right="713"/>
        <w:jc w:val="both"/>
        <w:rPr>
          <w:rFonts w:asciiTheme="majorBidi" w:hAnsiTheme="majorBidi" w:cstheme="majorBidi"/>
          <w:b/>
          <w:bCs/>
          <w:lang w:val="en-GB"/>
        </w:rPr>
      </w:pPr>
    </w:p>
    <w:p w14:paraId="0CAF2DAA" w14:textId="77777777" w:rsidR="00974AA7" w:rsidRPr="001005A8" w:rsidRDefault="00974AA7" w:rsidP="00974AA7">
      <w:pPr>
        <w:pStyle w:val="ListParagraph"/>
        <w:spacing w:line="259" w:lineRule="auto"/>
        <w:ind w:left="993" w:right="713"/>
        <w:jc w:val="both"/>
        <w:rPr>
          <w:rFonts w:asciiTheme="majorBidi" w:hAnsiTheme="majorBidi" w:cstheme="majorBidi"/>
          <w:b/>
          <w:bCs/>
          <w:lang w:val="en-GB"/>
        </w:rPr>
      </w:pPr>
      <w:r w:rsidRPr="001005A8">
        <w:rPr>
          <w:rFonts w:asciiTheme="majorBidi" w:hAnsiTheme="majorBidi" w:cstheme="majorBidi"/>
          <w:b/>
          <w:bCs/>
          <w:lang w:val="en-GB"/>
        </w:rPr>
        <w:t>Priority 1: Inclusive, diversified and sustainable economic diversification</w:t>
      </w:r>
    </w:p>
    <w:p w14:paraId="3777961F" w14:textId="77777777" w:rsidR="00974AA7" w:rsidRPr="001005A8" w:rsidRDefault="00974AA7" w:rsidP="00974AA7">
      <w:pPr>
        <w:pStyle w:val="ListParagraph"/>
        <w:ind w:left="993" w:right="713"/>
        <w:jc w:val="both"/>
        <w:rPr>
          <w:rFonts w:asciiTheme="majorBidi" w:hAnsiTheme="majorBidi" w:cstheme="majorBidi"/>
          <w:lang w:val="en-GB"/>
        </w:rPr>
      </w:pPr>
    </w:p>
    <w:p w14:paraId="01C6E20E" w14:textId="66172880"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UNDP will scale up its contribution to the </w:t>
      </w:r>
      <w:r w:rsidR="00EC004C" w:rsidRPr="001005A8">
        <w:rPr>
          <w:rFonts w:asciiTheme="majorBidi" w:hAnsiTheme="majorBidi" w:cstheme="majorBidi"/>
          <w:lang w:val="en-GB"/>
        </w:rPr>
        <w:t xml:space="preserve">national </w:t>
      </w:r>
      <w:r w:rsidRPr="001005A8">
        <w:rPr>
          <w:rFonts w:asciiTheme="majorBidi" w:hAnsiTheme="majorBidi" w:cstheme="majorBidi"/>
          <w:lang w:val="en-GB"/>
        </w:rPr>
        <w:t xml:space="preserve">economic diversification agenda </w:t>
      </w:r>
      <w:r w:rsidR="00EC004C" w:rsidRPr="001005A8">
        <w:rPr>
          <w:rFonts w:asciiTheme="majorBidi" w:hAnsiTheme="majorBidi" w:cstheme="majorBidi"/>
          <w:lang w:val="en-GB"/>
        </w:rPr>
        <w:t xml:space="preserve">by securing </w:t>
      </w:r>
      <w:r w:rsidRPr="001005A8">
        <w:rPr>
          <w:rFonts w:asciiTheme="majorBidi" w:hAnsiTheme="majorBidi" w:cstheme="majorBidi"/>
          <w:lang w:val="en-GB"/>
        </w:rPr>
        <w:t xml:space="preserve">impact investments, addressing institutional and policy gaps, and strengthening the capacity of smallholder farmers, formal and informal workers, </w:t>
      </w:r>
      <w:r w:rsidR="00EC004C" w:rsidRPr="001005A8">
        <w:rPr>
          <w:rFonts w:asciiTheme="majorBidi" w:hAnsiTheme="majorBidi" w:cstheme="majorBidi"/>
          <w:lang w:val="en-GB"/>
        </w:rPr>
        <w:t xml:space="preserve">as well as </w:t>
      </w:r>
      <w:r w:rsidRPr="001005A8">
        <w:rPr>
          <w:rFonts w:asciiTheme="majorBidi" w:hAnsiTheme="majorBidi" w:cstheme="majorBidi"/>
          <w:lang w:val="en-GB"/>
        </w:rPr>
        <w:t xml:space="preserve">formal and informal MSMEs. UNDP will promote employment and skills development opportunities for women, youth, people with disabilities and vulnerable populations, including those affected by natural disasters. This will be </w:t>
      </w:r>
      <w:r w:rsidR="00EC004C" w:rsidRPr="001005A8">
        <w:rPr>
          <w:rFonts w:asciiTheme="majorBidi" w:hAnsiTheme="majorBidi" w:cstheme="majorBidi"/>
          <w:lang w:val="en-GB"/>
        </w:rPr>
        <w:t xml:space="preserve">accomplished by </w:t>
      </w:r>
      <w:r w:rsidRPr="001005A8">
        <w:rPr>
          <w:rFonts w:asciiTheme="majorBidi" w:hAnsiTheme="majorBidi" w:cstheme="majorBidi"/>
          <w:lang w:val="en-GB"/>
        </w:rPr>
        <w:t>improv</w:t>
      </w:r>
      <w:r w:rsidR="00EC004C" w:rsidRPr="001005A8">
        <w:rPr>
          <w:rFonts w:asciiTheme="majorBidi" w:hAnsiTheme="majorBidi" w:cstheme="majorBidi"/>
          <w:lang w:val="en-GB"/>
        </w:rPr>
        <w:t>ing</w:t>
      </w:r>
      <w:r w:rsidRPr="001005A8">
        <w:rPr>
          <w:rFonts w:asciiTheme="majorBidi" w:hAnsiTheme="majorBidi" w:cstheme="majorBidi"/>
          <w:lang w:val="en-GB"/>
        </w:rPr>
        <w:t xml:space="preserve"> access to business, financial and digital services coupled with inclusive access to the market for smallholder farmers and MSMEs.</w:t>
      </w:r>
    </w:p>
    <w:p w14:paraId="45DAEECE" w14:textId="77777777" w:rsidR="00974AA7" w:rsidRPr="001005A8" w:rsidRDefault="00974AA7" w:rsidP="00974AA7">
      <w:pPr>
        <w:pStyle w:val="ListParagraph"/>
        <w:ind w:left="993" w:right="713"/>
        <w:jc w:val="both"/>
        <w:rPr>
          <w:rFonts w:asciiTheme="majorBidi" w:hAnsiTheme="majorBidi" w:cstheme="majorBidi"/>
          <w:lang w:val="en-GB"/>
        </w:rPr>
      </w:pPr>
    </w:p>
    <w:p w14:paraId="7B0825C2" w14:textId="2CC181B5"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Further</w:t>
      </w:r>
      <w:r w:rsidR="00EC004C" w:rsidRPr="001005A8">
        <w:rPr>
          <w:rFonts w:asciiTheme="majorBidi" w:hAnsiTheme="majorBidi" w:cstheme="majorBidi"/>
          <w:lang w:val="en-GB"/>
        </w:rPr>
        <w:t>more</w:t>
      </w:r>
      <w:r w:rsidRPr="001005A8">
        <w:rPr>
          <w:rFonts w:asciiTheme="majorBidi" w:hAnsiTheme="majorBidi" w:cstheme="majorBidi"/>
          <w:lang w:val="en-GB"/>
        </w:rPr>
        <w:t xml:space="preserve">, </w:t>
      </w:r>
      <w:r w:rsidR="00EC004C" w:rsidRPr="001005A8">
        <w:rPr>
          <w:rFonts w:asciiTheme="majorBidi" w:hAnsiTheme="majorBidi" w:cstheme="majorBidi"/>
          <w:lang w:val="en-GB"/>
        </w:rPr>
        <w:t xml:space="preserve">UNDP </w:t>
      </w:r>
      <w:r w:rsidRPr="001005A8">
        <w:rPr>
          <w:rFonts w:asciiTheme="majorBidi" w:hAnsiTheme="majorBidi" w:cstheme="majorBidi"/>
          <w:lang w:val="en-GB"/>
        </w:rPr>
        <w:t xml:space="preserve">will promote quality Technical, Vocational Education and Training (TVET) and strengthen innovative incubators and start-ups. UNDP will </w:t>
      </w:r>
      <w:r w:rsidR="00EC004C" w:rsidRPr="001005A8">
        <w:rPr>
          <w:rFonts w:asciiTheme="majorBidi" w:hAnsiTheme="majorBidi" w:cstheme="majorBidi"/>
          <w:lang w:val="en-GB"/>
        </w:rPr>
        <w:t>support</w:t>
      </w:r>
      <w:r w:rsidRPr="001005A8">
        <w:rPr>
          <w:rFonts w:asciiTheme="majorBidi" w:hAnsiTheme="majorBidi" w:cstheme="majorBidi"/>
          <w:lang w:val="en-GB"/>
        </w:rPr>
        <w:t xml:space="preserve"> an inclusive transition from the informal to the formal economy through improved access to social services </w:t>
      </w:r>
      <w:r w:rsidRPr="001005A8">
        <w:rPr>
          <w:rFonts w:asciiTheme="majorBidi" w:hAnsiTheme="majorBidi" w:cstheme="majorBidi"/>
          <w:lang w:val="en-GB"/>
        </w:rPr>
        <w:lastRenderedPageBreak/>
        <w:t>for youth, women and vulnerable populations. The programme will work towards unlocking private capital with an impact on the Sustainable Development Goals, particularly in sustainable and resilient agriculture, industry and renewable energy</w:t>
      </w:r>
      <w:r w:rsidR="003555EE" w:rsidRPr="001005A8">
        <w:rPr>
          <w:rFonts w:asciiTheme="majorBidi" w:hAnsiTheme="majorBidi" w:cstheme="majorBidi"/>
          <w:lang w:val="en-GB"/>
        </w:rPr>
        <w:t xml:space="preserve"> </w:t>
      </w:r>
      <w:r w:rsidR="00EC004C" w:rsidRPr="001005A8">
        <w:rPr>
          <w:rFonts w:asciiTheme="majorBidi" w:hAnsiTheme="majorBidi" w:cstheme="majorBidi"/>
          <w:lang w:val="en-GB"/>
        </w:rPr>
        <w:t xml:space="preserve">drawing </w:t>
      </w:r>
      <w:r w:rsidRPr="001005A8">
        <w:rPr>
          <w:rFonts w:asciiTheme="majorBidi" w:hAnsiTheme="majorBidi" w:cstheme="majorBidi"/>
          <w:lang w:val="en-GB"/>
        </w:rPr>
        <w:t>on actions, capacities and networks promoted under Priority 3.</w:t>
      </w:r>
    </w:p>
    <w:p w14:paraId="029D7AEB" w14:textId="77777777" w:rsidR="00974AA7" w:rsidRPr="001005A8" w:rsidRDefault="00974AA7" w:rsidP="00974AA7">
      <w:pPr>
        <w:pStyle w:val="ListParagraph"/>
        <w:ind w:left="993" w:right="713"/>
        <w:rPr>
          <w:rFonts w:asciiTheme="majorBidi" w:hAnsiTheme="majorBidi" w:cstheme="majorBidi"/>
          <w:lang w:val="en-GB"/>
        </w:rPr>
      </w:pPr>
    </w:p>
    <w:p w14:paraId="6E812B29" w14:textId="54162454"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UNDP will engage a broad range of national and international partners to leverage international trade agreements and opportunities for South-South and triangular cooperation, to foster innovation and sustainable investments. UNDP will continue to deepen its resource mobilization and strategic partnership with both the African Development Bank (AfDB) and Arab Bank for Economic Development in Africa (BADEA) to boost youth and female employment, skills development and resilience to climate change and natural disasters.</w:t>
      </w:r>
    </w:p>
    <w:p w14:paraId="6C61C106" w14:textId="77777777" w:rsidR="00974AA7" w:rsidRPr="001005A8" w:rsidRDefault="00974AA7" w:rsidP="00974AA7">
      <w:pPr>
        <w:pStyle w:val="ListParagraph"/>
        <w:ind w:left="993" w:right="713"/>
        <w:rPr>
          <w:rFonts w:asciiTheme="majorBidi" w:hAnsiTheme="majorBidi" w:cstheme="majorBidi"/>
          <w:lang w:val="en-GB"/>
        </w:rPr>
      </w:pPr>
    </w:p>
    <w:p w14:paraId="7D370121" w14:textId="2F256ED3"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UNDP will continue working with the Global Fund, Global Environment Facility (GEF), Green Climate Fund (GCF), Least Developed Countries Fund (LDCF), European Union, European Investment Bank (EIB), AfDB, BADEA, the World Bank</w:t>
      </w:r>
      <w:r w:rsidR="00145400" w:rsidRPr="001005A8">
        <w:rPr>
          <w:rFonts w:asciiTheme="majorBidi" w:hAnsiTheme="majorBidi" w:cstheme="majorBidi"/>
          <w:lang w:val="en-GB"/>
        </w:rPr>
        <w:t>,</w:t>
      </w:r>
      <w:r w:rsidRPr="001005A8">
        <w:rPr>
          <w:rFonts w:asciiTheme="majorBidi" w:hAnsiTheme="majorBidi" w:cstheme="majorBidi"/>
          <w:lang w:val="en-GB"/>
        </w:rPr>
        <w:t xml:space="preserve"> and International Monetary Fund (IMF). The programme will continue partnering with </w:t>
      </w:r>
      <w:r w:rsidR="00145400" w:rsidRPr="001005A8">
        <w:rPr>
          <w:rFonts w:asciiTheme="majorBidi" w:hAnsiTheme="majorBidi" w:cstheme="majorBidi"/>
          <w:lang w:val="en-GB"/>
        </w:rPr>
        <w:t xml:space="preserve">the governments of </w:t>
      </w:r>
      <w:r w:rsidRPr="001005A8">
        <w:rPr>
          <w:rFonts w:asciiTheme="majorBidi" w:hAnsiTheme="majorBidi" w:cstheme="majorBidi"/>
          <w:lang w:val="en-GB"/>
        </w:rPr>
        <w:t xml:space="preserve">Norway, Japan, Germany, Türkiye, Portugal, France, United Kingdom and other strategic partners. </w:t>
      </w:r>
    </w:p>
    <w:p w14:paraId="42335C3A" w14:textId="77777777" w:rsidR="00974AA7" w:rsidRPr="001005A8" w:rsidRDefault="00974AA7" w:rsidP="00974AA7">
      <w:pPr>
        <w:pStyle w:val="ListParagraph"/>
        <w:ind w:left="993" w:right="713"/>
        <w:rPr>
          <w:rFonts w:asciiTheme="majorBidi" w:hAnsiTheme="majorBidi" w:cstheme="majorBidi"/>
          <w:lang w:val="en-GB"/>
        </w:rPr>
      </w:pPr>
    </w:p>
    <w:p w14:paraId="4766060B" w14:textId="3B106438"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UNDP will explore and deepen partnership opportunities with the private sector to boost impact investments, female and youth employment, entrepreneurship, innovation, and digitalization. Committed to Delivering as One, UNDP will leverage its comparative advantage and integrator role complementing the United Nations Children's Emergency Fund (UNICEF) on youth and female skills development and empowerment, and the International Labour Organization (ILO) on youth and female employment and TVET, including informal workers.</w:t>
      </w:r>
    </w:p>
    <w:p w14:paraId="3002C032" w14:textId="77777777" w:rsidR="00974AA7" w:rsidRPr="001005A8" w:rsidRDefault="00974AA7" w:rsidP="00974AA7">
      <w:pPr>
        <w:pStyle w:val="ListParagraph"/>
        <w:ind w:left="993" w:right="713"/>
        <w:jc w:val="both"/>
        <w:rPr>
          <w:rFonts w:asciiTheme="majorBidi" w:hAnsiTheme="majorBidi" w:cstheme="majorBidi"/>
          <w:lang w:val="en-GB"/>
        </w:rPr>
      </w:pPr>
    </w:p>
    <w:p w14:paraId="7493FCBA" w14:textId="77777777" w:rsidR="00974AA7" w:rsidRPr="001005A8" w:rsidRDefault="00974AA7" w:rsidP="00974AA7">
      <w:pPr>
        <w:pStyle w:val="ListParagraph"/>
        <w:spacing w:line="259" w:lineRule="auto"/>
        <w:ind w:left="993" w:right="713"/>
        <w:jc w:val="both"/>
        <w:rPr>
          <w:rFonts w:asciiTheme="majorBidi" w:hAnsiTheme="majorBidi" w:cstheme="majorBidi"/>
          <w:b/>
          <w:bCs/>
          <w:lang w:val="en-GB"/>
        </w:rPr>
      </w:pPr>
      <w:r w:rsidRPr="001005A8">
        <w:rPr>
          <w:rFonts w:asciiTheme="majorBidi" w:hAnsiTheme="majorBidi" w:cstheme="majorBidi"/>
          <w:b/>
          <w:bCs/>
          <w:lang w:val="en-GB"/>
        </w:rPr>
        <w:t>Priority 2: Equitable access to quality social services</w:t>
      </w:r>
    </w:p>
    <w:p w14:paraId="6C535F1B" w14:textId="77777777" w:rsidR="00974AA7" w:rsidRPr="001005A8" w:rsidRDefault="00974AA7" w:rsidP="00974AA7">
      <w:pPr>
        <w:pStyle w:val="ListParagraph"/>
        <w:ind w:left="993" w:right="713"/>
        <w:jc w:val="both"/>
        <w:rPr>
          <w:rFonts w:asciiTheme="majorBidi" w:hAnsiTheme="majorBidi" w:cstheme="majorBidi"/>
          <w:lang w:val="en-GB"/>
        </w:rPr>
      </w:pPr>
    </w:p>
    <w:p w14:paraId="5574929B" w14:textId="2C3B682B"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As a </w:t>
      </w:r>
      <w:r w:rsidR="00145400" w:rsidRPr="001005A8">
        <w:rPr>
          <w:rFonts w:asciiTheme="majorBidi" w:hAnsiTheme="majorBidi" w:cstheme="majorBidi"/>
          <w:lang w:val="en-GB"/>
        </w:rPr>
        <w:t>r</w:t>
      </w:r>
      <w:r w:rsidRPr="001005A8">
        <w:rPr>
          <w:rFonts w:asciiTheme="majorBidi" w:hAnsiTheme="majorBidi" w:cstheme="majorBidi"/>
          <w:lang w:val="en-GB"/>
        </w:rPr>
        <w:t xml:space="preserve">ecipient of significant resources from the </w:t>
      </w:r>
      <w:r w:rsidR="00145400" w:rsidRPr="001005A8">
        <w:rPr>
          <w:rFonts w:asciiTheme="majorBidi" w:hAnsiTheme="majorBidi" w:cstheme="majorBidi"/>
          <w:lang w:val="en-GB"/>
        </w:rPr>
        <w:t>go</w:t>
      </w:r>
      <w:r w:rsidRPr="001005A8">
        <w:rPr>
          <w:rFonts w:asciiTheme="majorBidi" w:hAnsiTheme="majorBidi" w:cstheme="majorBidi"/>
          <w:lang w:val="en-GB"/>
        </w:rPr>
        <w:t xml:space="preserve">vernment and Global Fund to Fight AIDS, Tuberculosis and Malaria, UNDP will contribute to ensuring uninterrupted delivery of health services to people living with or affected by HIV, </w:t>
      </w:r>
      <w:r w:rsidR="00145400" w:rsidRPr="001005A8">
        <w:rPr>
          <w:rFonts w:asciiTheme="majorBidi" w:hAnsiTheme="majorBidi" w:cstheme="majorBidi"/>
          <w:lang w:val="en-GB"/>
        </w:rPr>
        <w:t>t</w:t>
      </w:r>
      <w:r w:rsidRPr="001005A8">
        <w:rPr>
          <w:rFonts w:asciiTheme="majorBidi" w:hAnsiTheme="majorBidi" w:cstheme="majorBidi"/>
          <w:lang w:val="en-GB"/>
        </w:rPr>
        <w:t xml:space="preserve">uberculosis and </w:t>
      </w:r>
      <w:r w:rsidR="00145400" w:rsidRPr="001005A8">
        <w:rPr>
          <w:rFonts w:asciiTheme="majorBidi" w:hAnsiTheme="majorBidi" w:cstheme="majorBidi"/>
          <w:lang w:val="en-GB"/>
        </w:rPr>
        <w:t>m</w:t>
      </w:r>
      <w:r w:rsidRPr="001005A8">
        <w:rPr>
          <w:rFonts w:asciiTheme="majorBidi" w:hAnsiTheme="majorBidi" w:cstheme="majorBidi"/>
          <w:lang w:val="en-GB"/>
        </w:rPr>
        <w:t xml:space="preserve">alaria, and </w:t>
      </w:r>
      <w:r w:rsidR="00CA4535" w:rsidRPr="001005A8">
        <w:rPr>
          <w:rFonts w:asciiTheme="majorBidi" w:hAnsiTheme="majorBidi" w:cstheme="majorBidi"/>
          <w:lang w:val="en-GB"/>
        </w:rPr>
        <w:t xml:space="preserve">             </w:t>
      </w:r>
      <w:r w:rsidR="00145400" w:rsidRPr="001005A8">
        <w:rPr>
          <w:rFonts w:asciiTheme="majorBidi" w:hAnsiTheme="majorBidi" w:cstheme="majorBidi"/>
          <w:lang w:val="en-GB"/>
        </w:rPr>
        <w:t>COVID</w:t>
      </w:r>
      <w:r w:rsidRPr="001005A8">
        <w:rPr>
          <w:rFonts w:asciiTheme="majorBidi" w:hAnsiTheme="majorBidi" w:cstheme="majorBidi"/>
          <w:lang w:val="en-GB"/>
        </w:rPr>
        <w:t xml:space="preserve">-19, in selected provinces of Angola. Drawing on </w:t>
      </w:r>
      <w:r w:rsidR="00145400" w:rsidRPr="001005A8">
        <w:rPr>
          <w:rFonts w:asciiTheme="majorBidi" w:hAnsiTheme="majorBidi" w:cstheme="majorBidi"/>
          <w:lang w:val="en-GB"/>
        </w:rPr>
        <w:t xml:space="preserve">the </w:t>
      </w:r>
      <w:r w:rsidRPr="001005A8">
        <w:rPr>
          <w:rFonts w:asciiTheme="majorBidi" w:hAnsiTheme="majorBidi" w:cstheme="majorBidi"/>
          <w:lang w:val="en-GB"/>
        </w:rPr>
        <w:t xml:space="preserve">UNDP HIV and Health Strategy </w:t>
      </w:r>
      <w:r w:rsidR="00145400" w:rsidRPr="001005A8">
        <w:rPr>
          <w:rFonts w:asciiTheme="majorBidi" w:hAnsiTheme="majorBidi" w:cstheme="majorBidi"/>
          <w:lang w:val="en-GB"/>
        </w:rPr>
        <w:t xml:space="preserve">for </w:t>
      </w:r>
      <w:r w:rsidRPr="001005A8">
        <w:rPr>
          <w:rFonts w:asciiTheme="majorBidi" w:hAnsiTheme="majorBidi" w:cstheme="majorBidi"/>
          <w:lang w:val="en-GB"/>
        </w:rPr>
        <w:t xml:space="preserve">2022-2025, UNDP will support national and sub-national health authorities and civil society organizations (CSOs) to improve the quality and coverage of prevention and treatment services, both at community and health facility levels, </w:t>
      </w:r>
      <w:r w:rsidR="00145400" w:rsidRPr="001005A8">
        <w:rPr>
          <w:rFonts w:asciiTheme="majorBidi" w:hAnsiTheme="majorBidi" w:cstheme="majorBidi"/>
          <w:lang w:val="en-GB"/>
        </w:rPr>
        <w:t xml:space="preserve">while </w:t>
      </w:r>
      <w:r w:rsidRPr="001005A8">
        <w:rPr>
          <w:rFonts w:asciiTheme="majorBidi" w:hAnsiTheme="majorBidi" w:cstheme="majorBidi"/>
          <w:lang w:val="en-GB"/>
        </w:rPr>
        <w:t xml:space="preserve">considering socioeconomic determinants of health. </w:t>
      </w:r>
    </w:p>
    <w:p w14:paraId="742931A0" w14:textId="77777777" w:rsidR="00974AA7" w:rsidRPr="001005A8" w:rsidRDefault="00974AA7" w:rsidP="00974AA7">
      <w:pPr>
        <w:pStyle w:val="ListParagraph"/>
        <w:ind w:left="993" w:right="713"/>
        <w:jc w:val="both"/>
        <w:rPr>
          <w:rFonts w:asciiTheme="majorBidi" w:hAnsiTheme="majorBidi" w:cstheme="majorBidi"/>
          <w:lang w:val="en-GB"/>
        </w:rPr>
      </w:pPr>
    </w:p>
    <w:p w14:paraId="6B61C7D9" w14:textId="4044E72A"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To ensure sustainability and in complementarity with the World Health Organization (WHO) and the Joint United Nations Programme on HIV&amp;AIDS (UNAIDS), UNDP will design and deliver targeted capacity development packages for health professionals, community health workers, national and sub-national health institutions. </w:t>
      </w:r>
      <w:r w:rsidR="00145400" w:rsidRPr="001005A8">
        <w:rPr>
          <w:rFonts w:asciiTheme="majorBidi" w:hAnsiTheme="majorBidi" w:cstheme="majorBidi"/>
          <w:lang w:val="en-GB"/>
        </w:rPr>
        <w:t xml:space="preserve">Focused investments </w:t>
      </w:r>
      <w:r w:rsidR="002C5C71" w:rsidRPr="001005A8">
        <w:rPr>
          <w:rFonts w:asciiTheme="majorBidi" w:hAnsiTheme="majorBidi" w:cstheme="majorBidi"/>
          <w:lang w:val="en-GB"/>
        </w:rPr>
        <w:t>in h</w:t>
      </w:r>
      <w:r w:rsidRPr="001005A8">
        <w:rPr>
          <w:rFonts w:asciiTheme="majorBidi" w:hAnsiTheme="majorBidi" w:cstheme="majorBidi"/>
          <w:lang w:val="en-GB"/>
        </w:rPr>
        <w:t xml:space="preserve">ealth information management systems, health procurement and supply management </w:t>
      </w:r>
      <w:r w:rsidR="002C5C71" w:rsidRPr="001005A8">
        <w:rPr>
          <w:rFonts w:asciiTheme="majorBidi" w:hAnsiTheme="majorBidi" w:cstheme="majorBidi"/>
          <w:lang w:val="en-GB"/>
        </w:rPr>
        <w:t xml:space="preserve">will </w:t>
      </w:r>
      <w:r w:rsidRPr="001005A8">
        <w:rPr>
          <w:rFonts w:asciiTheme="majorBidi" w:hAnsiTheme="majorBidi" w:cstheme="majorBidi"/>
          <w:lang w:val="en-GB"/>
        </w:rPr>
        <w:t xml:space="preserve">leverage and complement support provided under </w:t>
      </w:r>
      <w:r w:rsidR="00145400" w:rsidRPr="001005A8">
        <w:rPr>
          <w:rFonts w:asciiTheme="majorBidi" w:hAnsiTheme="majorBidi" w:cstheme="majorBidi"/>
          <w:lang w:val="en-GB"/>
        </w:rPr>
        <w:t>p</w:t>
      </w:r>
      <w:r w:rsidRPr="001005A8">
        <w:rPr>
          <w:rFonts w:asciiTheme="majorBidi" w:hAnsiTheme="majorBidi" w:cstheme="majorBidi"/>
          <w:lang w:val="en-GB"/>
        </w:rPr>
        <w:t xml:space="preserve">riorities </w:t>
      </w:r>
      <w:r w:rsidR="00145400" w:rsidRPr="001005A8">
        <w:rPr>
          <w:rFonts w:asciiTheme="majorBidi" w:hAnsiTheme="majorBidi" w:cstheme="majorBidi"/>
          <w:lang w:val="en-GB"/>
        </w:rPr>
        <w:t xml:space="preserve">one </w:t>
      </w:r>
      <w:r w:rsidRPr="001005A8">
        <w:rPr>
          <w:rFonts w:asciiTheme="majorBidi" w:hAnsiTheme="majorBidi" w:cstheme="majorBidi"/>
          <w:lang w:val="en-GB"/>
        </w:rPr>
        <w:t xml:space="preserve">and </w:t>
      </w:r>
      <w:r w:rsidR="00145400" w:rsidRPr="001005A8">
        <w:rPr>
          <w:rFonts w:asciiTheme="majorBidi" w:hAnsiTheme="majorBidi" w:cstheme="majorBidi"/>
          <w:lang w:val="en-GB"/>
        </w:rPr>
        <w:t>three</w:t>
      </w:r>
      <w:r w:rsidRPr="001005A8">
        <w:rPr>
          <w:rFonts w:asciiTheme="majorBidi" w:hAnsiTheme="majorBidi" w:cstheme="majorBidi"/>
          <w:lang w:val="en-GB"/>
        </w:rPr>
        <w:t>.</w:t>
      </w:r>
    </w:p>
    <w:p w14:paraId="213CD26F" w14:textId="77777777" w:rsidR="00974AA7" w:rsidRPr="001005A8" w:rsidRDefault="00974AA7" w:rsidP="00974AA7">
      <w:pPr>
        <w:pStyle w:val="ListParagraph"/>
        <w:spacing w:line="259" w:lineRule="auto"/>
        <w:ind w:left="993" w:right="713"/>
        <w:jc w:val="both"/>
        <w:rPr>
          <w:rFonts w:asciiTheme="majorBidi" w:hAnsiTheme="majorBidi" w:cstheme="majorBidi"/>
          <w:lang w:val="en-GB"/>
        </w:rPr>
      </w:pPr>
    </w:p>
    <w:p w14:paraId="3561B6E1" w14:textId="08498424"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Community approaches that promote CSO leadership, including </w:t>
      </w:r>
      <w:r w:rsidR="002C5C71" w:rsidRPr="001005A8">
        <w:rPr>
          <w:rFonts w:asciiTheme="majorBidi" w:hAnsiTheme="majorBidi" w:cstheme="majorBidi"/>
          <w:lang w:val="en-GB"/>
        </w:rPr>
        <w:t xml:space="preserve">for and by </w:t>
      </w:r>
      <w:r w:rsidRPr="001005A8">
        <w:rPr>
          <w:rFonts w:asciiTheme="majorBidi" w:hAnsiTheme="majorBidi" w:cstheme="majorBidi"/>
          <w:lang w:val="en-GB"/>
        </w:rPr>
        <w:t>key and vulnerable populations will be used to tackle gender and human rights-related barriers to sexual and reproductive health</w:t>
      </w:r>
      <w:r w:rsidR="002C5C71" w:rsidRPr="001005A8">
        <w:rPr>
          <w:rFonts w:asciiTheme="majorBidi" w:hAnsiTheme="majorBidi" w:cstheme="majorBidi"/>
          <w:lang w:val="en-GB"/>
        </w:rPr>
        <w:t>, as well as</w:t>
      </w:r>
      <w:r w:rsidRPr="001005A8">
        <w:rPr>
          <w:rFonts w:asciiTheme="majorBidi" w:hAnsiTheme="majorBidi" w:cstheme="majorBidi"/>
          <w:lang w:val="en-GB"/>
        </w:rPr>
        <w:t xml:space="preserve"> the rights of adolescent girls, young women and vulnerable populations. UNDP will mainstream GEWE in its action</w:t>
      </w:r>
      <w:r w:rsidR="00CF0725" w:rsidRPr="001005A8">
        <w:rPr>
          <w:rFonts w:asciiTheme="majorBidi" w:hAnsiTheme="majorBidi" w:cstheme="majorBidi"/>
          <w:lang w:val="en-GB"/>
        </w:rPr>
        <w:t>s</w:t>
      </w:r>
      <w:r w:rsidRPr="001005A8">
        <w:rPr>
          <w:rFonts w:asciiTheme="majorBidi" w:hAnsiTheme="majorBidi" w:cstheme="majorBidi"/>
          <w:lang w:val="en-GB"/>
        </w:rPr>
        <w:t xml:space="preserve">, engage vulnerable populations in the design, implementation and monitoring of health interventions. UNDP will facilitate dialogue platforms for action to end discrimination against lesbian, gay, bisexual, transgender, queer and intersex (LGBTI) people to fully access public services. </w:t>
      </w:r>
      <w:r w:rsidR="002C5C71" w:rsidRPr="001005A8">
        <w:rPr>
          <w:rFonts w:asciiTheme="majorBidi" w:hAnsiTheme="majorBidi" w:cstheme="majorBidi"/>
          <w:lang w:val="en-GB"/>
        </w:rPr>
        <w:t>I</w:t>
      </w:r>
      <w:r w:rsidRPr="001005A8">
        <w:rPr>
          <w:rFonts w:asciiTheme="majorBidi" w:hAnsiTheme="majorBidi" w:cstheme="majorBidi"/>
          <w:lang w:val="en-GB"/>
        </w:rPr>
        <w:t xml:space="preserve">nterventions will leverage UNDP capacities and interventions under Priority 4. Building on positive results of its partnership with the Ministry of Health (MINSA), UNDP will mainstream </w:t>
      </w:r>
      <w:r w:rsidR="00CF0725" w:rsidRPr="001005A8">
        <w:rPr>
          <w:rFonts w:asciiTheme="majorBidi" w:hAnsiTheme="majorBidi" w:cstheme="majorBidi"/>
          <w:lang w:val="en-GB"/>
        </w:rPr>
        <w:t>the</w:t>
      </w:r>
      <w:r w:rsidR="002C5C71" w:rsidRPr="001005A8">
        <w:rPr>
          <w:rFonts w:asciiTheme="majorBidi" w:hAnsiTheme="majorBidi" w:cstheme="majorBidi"/>
          <w:lang w:val="en-GB"/>
        </w:rPr>
        <w:t xml:space="preserve"> </w:t>
      </w:r>
      <w:r w:rsidRPr="001005A8">
        <w:rPr>
          <w:rFonts w:asciiTheme="majorBidi" w:hAnsiTheme="majorBidi" w:cstheme="majorBidi"/>
          <w:lang w:val="en-GB"/>
        </w:rPr>
        <w:t xml:space="preserve">2022-2025 Digital Strategy </w:t>
      </w:r>
      <w:r w:rsidR="00CF0725" w:rsidRPr="001005A8">
        <w:rPr>
          <w:rFonts w:asciiTheme="majorBidi" w:hAnsiTheme="majorBidi" w:cstheme="majorBidi"/>
          <w:lang w:val="en-GB"/>
        </w:rPr>
        <w:t>in</w:t>
      </w:r>
      <w:r w:rsidRPr="001005A8">
        <w:rPr>
          <w:rFonts w:asciiTheme="majorBidi" w:hAnsiTheme="majorBidi" w:cstheme="majorBidi"/>
          <w:lang w:val="en-GB"/>
        </w:rPr>
        <w:t xml:space="preserve">to </w:t>
      </w:r>
      <w:r w:rsidR="002C5C71" w:rsidRPr="001005A8">
        <w:rPr>
          <w:rFonts w:asciiTheme="majorBidi" w:hAnsiTheme="majorBidi" w:cstheme="majorBidi"/>
          <w:lang w:val="en-GB"/>
        </w:rPr>
        <w:t xml:space="preserve">the </w:t>
      </w:r>
      <w:r w:rsidRPr="001005A8">
        <w:rPr>
          <w:rFonts w:asciiTheme="majorBidi" w:hAnsiTheme="majorBidi" w:cstheme="majorBidi"/>
          <w:lang w:val="en-GB"/>
        </w:rPr>
        <w:t>health outcome.</w:t>
      </w:r>
    </w:p>
    <w:p w14:paraId="00B1A551" w14:textId="77777777" w:rsidR="00974AA7" w:rsidRPr="001005A8" w:rsidRDefault="00974AA7" w:rsidP="00974AA7">
      <w:pPr>
        <w:pStyle w:val="ListParagraph"/>
        <w:ind w:left="993" w:right="713"/>
        <w:rPr>
          <w:rFonts w:asciiTheme="majorBidi" w:hAnsiTheme="majorBidi" w:cstheme="majorBidi"/>
          <w:lang w:val="en-GB"/>
        </w:rPr>
      </w:pPr>
    </w:p>
    <w:p w14:paraId="3A1FC428" w14:textId="3B49000F" w:rsidR="00974AA7" w:rsidRPr="001005A8" w:rsidRDefault="002C5C71"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Positioned </w:t>
      </w:r>
      <w:r w:rsidR="00974AA7" w:rsidRPr="001005A8">
        <w:rPr>
          <w:rFonts w:asciiTheme="majorBidi" w:hAnsiTheme="majorBidi" w:cstheme="majorBidi"/>
          <w:lang w:val="en-GB"/>
        </w:rPr>
        <w:t xml:space="preserve">as a thought leader in digital technology for development, </w:t>
      </w:r>
      <w:r w:rsidRPr="001005A8">
        <w:rPr>
          <w:rFonts w:asciiTheme="majorBidi" w:hAnsiTheme="majorBidi" w:cstheme="majorBidi"/>
          <w:lang w:val="en-GB"/>
        </w:rPr>
        <w:t xml:space="preserve">UNDP </w:t>
      </w:r>
      <w:r w:rsidR="00974AA7" w:rsidRPr="001005A8">
        <w:rPr>
          <w:rFonts w:asciiTheme="majorBidi" w:hAnsiTheme="majorBidi" w:cstheme="majorBidi"/>
          <w:lang w:val="en-GB"/>
        </w:rPr>
        <w:t xml:space="preserve">will </w:t>
      </w:r>
      <w:r w:rsidR="001005A8" w:rsidRPr="001005A8">
        <w:rPr>
          <w:rFonts w:asciiTheme="majorBidi" w:hAnsiTheme="majorBidi" w:cstheme="majorBidi"/>
          <w:lang w:val="en-GB"/>
        </w:rPr>
        <w:t>catalyse</w:t>
      </w:r>
      <w:r w:rsidR="00974AA7" w:rsidRPr="001005A8">
        <w:rPr>
          <w:rFonts w:asciiTheme="majorBidi" w:hAnsiTheme="majorBidi" w:cstheme="majorBidi"/>
          <w:lang w:val="en-GB"/>
        </w:rPr>
        <w:t xml:space="preserve"> local innovation ecosystems and identify opportunities to strengthen digital skills. UNDP will </w:t>
      </w:r>
      <w:r w:rsidR="00974AA7" w:rsidRPr="001005A8">
        <w:rPr>
          <w:rFonts w:asciiTheme="majorBidi" w:hAnsiTheme="majorBidi" w:cstheme="majorBidi"/>
          <w:lang w:val="en-GB"/>
        </w:rPr>
        <w:lastRenderedPageBreak/>
        <w:t xml:space="preserve">focus on logistics information management systems to foster an efficient and reliable supply chain that ensures uninterrupted delivery of quality medicines and continuity of care for vulnerable populations, including people living with HIV and those affected by </w:t>
      </w:r>
      <w:r w:rsidRPr="001005A8">
        <w:rPr>
          <w:rFonts w:asciiTheme="majorBidi" w:hAnsiTheme="majorBidi" w:cstheme="majorBidi"/>
          <w:lang w:val="en-GB"/>
        </w:rPr>
        <w:t>t</w:t>
      </w:r>
      <w:r w:rsidR="00974AA7" w:rsidRPr="001005A8">
        <w:rPr>
          <w:rFonts w:asciiTheme="majorBidi" w:hAnsiTheme="majorBidi" w:cstheme="majorBidi"/>
          <w:lang w:val="en-GB"/>
        </w:rPr>
        <w:t xml:space="preserve">uberculosis, </w:t>
      </w:r>
      <w:r w:rsidRPr="001005A8">
        <w:rPr>
          <w:rFonts w:asciiTheme="majorBidi" w:hAnsiTheme="majorBidi" w:cstheme="majorBidi"/>
          <w:lang w:val="en-GB"/>
        </w:rPr>
        <w:t>m</w:t>
      </w:r>
      <w:r w:rsidR="00974AA7" w:rsidRPr="001005A8">
        <w:rPr>
          <w:rFonts w:asciiTheme="majorBidi" w:hAnsiTheme="majorBidi" w:cstheme="majorBidi"/>
          <w:lang w:val="en-GB"/>
        </w:rPr>
        <w:t xml:space="preserve">alaria and </w:t>
      </w:r>
      <w:r w:rsidRPr="001005A8">
        <w:rPr>
          <w:rFonts w:asciiTheme="majorBidi" w:hAnsiTheme="majorBidi" w:cstheme="majorBidi"/>
          <w:lang w:val="en-GB"/>
        </w:rPr>
        <w:t>COVID</w:t>
      </w:r>
      <w:r w:rsidR="00974AA7" w:rsidRPr="001005A8">
        <w:rPr>
          <w:rFonts w:asciiTheme="majorBidi" w:hAnsiTheme="majorBidi" w:cstheme="majorBidi"/>
          <w:lang w:val="en-GB"/>
        </w:rPr>
        <w:t xml:space="preserve">-19. </w:t>
      </w:r>
    </w:p>
    <w:p w14:paraId="6FB5010E" w14:textId="77777777" w:rsidR="00974AA7" w:rsidRPr="001005A8" w:rsidRDefault="00974AA7" w:rsidP="00974AA7">
      <w:pPr>
        <w:pStyle w:val="ListParagraph"/>
        <w:ind w:left="993" w:right="713"/>
        <w:rPr>
          <w:rFonts w:asciiTheme="majorBidi" w:hAnsiTheme="majorBidi" w:cstheme="majorBidi"/>
          <w:lang w:val="en-GB"/>
        </w:rPr>
      </w:pPr>
    </w:p>
    <w:p w14:paraId="0DF6692E" w14:textId="333A6B84"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UNDP will promote a comprehensive, agile and systems thinking approach to health by seeking and leveraging opportunities for programmatic synergies across </w:t>
      </w:r>
      <w:r w:rsidR="002C5C71" w:rsidRPr="001005A8">
        <w:rPr>
          <w:rFonts w:asciiTheme="majorBidi" w:hAnsiTheme="majorBidi" w:cstheme="majorBidi"/>
          <w:lang w:val="en-GB"/>
        </w:rPr>
        <w:t xml:space="preserve">all </w:t>
      </w:r>
      <w:r w:rsidRPr="001005A8">
        <w:rPr>
          <w:rFonts w:asciiTheme="majorBidi" w:hAnsiTheme="majorBidi" w:cstheme="majorBidi"/>
          <w:lang w:val="en-GB"/>
        </w:rPr>
        <w:t xml:space="preserve">four </w:t>
      </w:r>
      <w:r w:rsidR="002C5C71" w:rsidRPr="001005A8">
        <w:rPr>
          <w:rFonts w:asciiTheme="majorBidi" w:hAnsiTheme="majorBidi" w:cstheme="majorBidi"/>
          <w:lang w:val="en-GB"/>
        </w:rPr>
        <w:t>o</w:t>
      </w:r>
      <w:r w:rsidRPr="001005A8">
        <w:rPr>
          <w:rFonts w:asciiTheme="majorBidi" w:hAnsiTheme="majorBidi" w:cstheme="majorBidi"/>
          <w:lang w:val="en-GB"/>
        </w:rPr>
        <w:t xml:space="preserve">utcomes, including with development partners and CSOs. Committed to Delivering as One and drawing on the </w:t>
      </w:r>
      <w:r w:rsidR="002C5C71" w:rsidRPr="001005A8">
        <w:rPr>
          <w:rFonts w:asciiTheme="majorBidi" w:hAnsiTheme="majorBidi" w:cstheme="majorBidi"/>
          <w:lang w:val="en-GB"/>
        </w:rPr>
        <w:t>existing division of</w:t>
      </w:r>
      <w:r w:rsidRPr="001005A8">
        <w:rPr>
          <w:rFonts w:asciiTheme="majorBidi" w:hAnsiTheme="majorBidi" w:cstheme="majorBidi"/>
          <w:lang w:val="en-GB"/>
        </w:rPr>
        <w:t xml:space="preserve"> </w:t>
      </w:r>
      <w:r w:rsidR="002C5C71" w:rsidRPr="001005A8">
        <w:rPr>
          <w:rFonts w:asciiTheme="majorBidi" w:hAnsiTheme="majorBidi" w:cstheme="majorBidi"/>
          <w:lang w:val="en-GB"/>
        </w:rPr>
        <w:t>l</w:t>
      </w:r>
      <w:r w:rsidRPr="001005A8">
        <w:rPr>
          <w:rFonts w:asciiTheme="majorBidi" w:hAnsiTheme="majorBidi" w:cstheme="majorBidi"/>
          <w:lang w:val="en-GB"/>
        </w:rPr>
        <w:t>abo</w:t>
      </w:r>
      <w:r w:rsidR="002C5C71" w:rsidRPr="001005A8">
        <w:rPr>
          <w:rFonts w:asciiTheme="majorBidi" w:hAnsiTheme="majorBidi" w:cstheme="majorBidi"/>
          <w:lang w:val="en-GB"/>
        </w:rPr>
        <w:t>u</w:t>
      </w:r>
      <w:r w:rsidRPr="001005A8">
        <w:rPr>
          <w:rFonts w:asciiTheme="majorBidi" w:hAnsiTheme="majorBidi" w:cstheme="majorBidi"/>
          <w:lang w:val="en-GB"/>
        </w:rPr>
        <w:t xml:space="preserve">r on HIV&amp;AIDS, UNDP will partner and complement WHO </w:t>
      </w:r>
      <w:r w:rsidR="002C5C71" w:rsidRPr="001005A8">
        <w:rPr>
          <w:rFonts w:asciiTheme="majorBidi" w:hAnsiTheme="majorBidi" w:cstheme="majorBidi"/>
          <w:lang w:val="en-GB"/>
        </w:rPr>
        <w:t xml:space="preserve">action </w:t>
      </w:r>
      <w:r w:rsidRPr="001005A8">
        <w:rPr>
          <w:rFonts w:asciiTheme="majorBidi" w:hAnsiTheme="majorBidi" w:cstheme="majorBidi"/>
          <w:lang w:val="en-GB"/>
        </w:rPr>
        <w:t>on health programme design</w:t>
      </w:r>
      <w:r w:rsidR="002C5C71" w:rsidRPr="001005A8">
        <w:rPr>
          <w:rFonts w:asciiTheme="majorBidi" w:hAnsiTheme="majorBidi" w:cstheme="majorBidi"/>
          <w:lang w:val="en-GB"/>
        </w:rPr>
        <w:t>,</w:t>
      </w:r>
      <w:r w:rsidRPr="001005A8">
        <w:rPr>
          <w:rFonts w:asciiTheme="majorBidi" w:hAnsiTheme="majorBidi" w:cstheme="majorBidi"/>
          <w:lang w:val="en-GB"/>
        </w:rPr>
        <w:t xml:space="preserve"> UNAIDS on human rights-related issues, </w:t>
      </w:r>
      <w:r w:rsidR="002C5C71" w:rsidRPr="001005A8">
        <w:rPr>
          <w:rFonts w:asciiTheme="majorBidi" w:hAnsiTheme="majorBidi" w:cstheme="majorBidi"/>
          <w:lang w:val="en-GB"/>
        </w:rPr>
        <w:t xml:space="preserve">reaching </w:t>
      </w:r>
      <w:r w:rsidRPr="001005A8">
        <w:rPr>
          <w:rFonts w:asciiTheme="majorBidi" w:hAnsiTheme="majorBidi" w:cstheme="majorBidi"/>
          <w:lang w:val="en-GB"/>
        </w:rPr>
        <w:t>key populations and LGBTI involvement</w:t>
      </w:r>
      <w:r w:rsidR="002C5C71" w:rsidRPr="001005A8">
        <w:rPr>
          <w:rFonts w:asciiTheme="majorBidi" w:hAnsiTheme="majorBidi" w:cstheme="majorBidi"/>
          <w:lang w:val="en-GB"/>
        </w:rPr>
        <w:t>, and</w:t>
      </w:r>
      <w:r w:rsidRPr="001005A8">
        <w:rPr>
          <w:rFonts w:asciiTheme="majorBidi" w:hAnsiTheme="majorBidi" w:cstheme="majorBidi"/>
          <w:lang w:val="en-GB"/>
        </w:rPr>
        <w:t xml:space="preserve"> UNFPA on sexual and reproductive health rights of adolescent girls and women and GEWE.</w:t>
      </w:r>
    </w:p>
    <w:p w14:paraId="412DBD30" w14:textId="77777777" w:rsidR="00974AA7" w:rsidRPr="001005A8" w:rsidRDefault="00974AA7" w:rsidP="00974AA7">
      <w:pPr>
        <w:pStyle w:val="ListParagraph"/>
        <w:ind w:left="993" w:right="713"/>
        <w:rPr>
          <w:rFonts w:asciiTheme="majorBidi" w:hAnsiTheme="majorBidi" w:cstheme="majorBidi"/>
          <w:lang w:val="en-GB"/>
        </w:rPr>
      </w:pPr>
    </w:p>
    <w:p w14:paraId="12BFAC1D" w14:textId="77777777" w:rsidR="00974AA7" w:rsidRPr="001005A8" w:rsidRDefault="00974AA7" w:rsidP="00974AA7">
      <w:pPr>
        <w:pStyle w:val="ListParagraph"/>
        <w:spacing w:line="259" w:lineRule="auto"/>
        <w:ind w:left="993" w:right="713"/>
        <w:jc w:val="both"/>
        <w:rPr>
          <w:rFonts w:asciiTheme="majorBidi" w:hAnsiTheme="majorBidi" w:cstheme="majorBidi"/>
          <w:b/>
          <w:bCs/>
          <w:lang w:val="en-GB"/>
        </w:rPr>
      </w:pPr>
      <w:r w:rsidRPr="001005A8">
        <w:rPr>
          <w:rFonts w:asciiTheme="majorBidi" w:hAnsiTheme="majorBidi" w:cstheme="majorBidi"/>
          <w:b/>
          <w:bCs/>
          <w:lang w:val="en-GB"/>
        </w:rPr>
        <w:t>Priority 3: Strengthened management of environmental and natural resources, and resilience to disasters and climate change</w:t>
      </w:r>
    </w:p>
    <w:p w14:paraId="5E3A878F" w14:textId="77777777" w:rsidR="00974AA7" w:rsidRPr="001005A8" w:rsidRDefault="00974AA7" w:rsidP="00974AA7">
      <w:pPr>
        <w:pStyle w:val="ListParagraph"/>
        <w:ind w:left="993" w:right="713"/>
        <w:jc w:val="both"/>
        <w:rPr>
          <w:rFonts w:asciiTheme="majorBidi" w:hAnsiTheme="majorBidi" w:cstheme="majorBidi"/>
          <w:lang w:val="en-GB"/>
        </w:rPr>
      </w:pPr>
    </w:p>
    <w:p w14:paraId="066F6D8B" w14:textId="0DE0DC5F" w:rsidR="00974AA7" w:rsidRPr="001005A8" w:rsidRDefault="002C5C71"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D</w:t>
      </w:r>
      <w:r w:rsidR="00974AA7" w:rsidRPr="001005A8">
        <w:rPr>
          <w:rFonts w:asciiTheme="majorBidi" w:hAnsiTheme="majorBidi" w:cstheme="majorBidi"/>
          <w:lang w:val="en-GB"/>
        </w:rPr>
        <w:t>esired change</w:t>
      </w:r>
      <w:r w:rsidRPr="001005A8">
        <w:rPr>
          <w:rFonts w:asciiTheme="majorBidi" w:hAnsiTheme="majorBidi" w:cstheme="majorBidi"/>
          <w:lang w:val="en-GB"/>
        </w:rPr>
        <w:t>s that</w:t>
      </w:r>
      <w:r w:rsidR="00974AA7" w:rsidRPr="001005A8">
        <w:rPr>
          <w:rFonts w:asciiTheme="majorBidi" w:hAnsiTheme="majorBidi" w:cstheme="majorBidi"/>
          <w:lang w:val="en-GB"/>
        </w:rPr>
        <w:t xml:space="preserve"> underpi</w:t>
      </w:r>
      <w:r w:rsidRPr="001005A8">
        <w:rPr>
          <w:rFonts w:asciiTheme="majorBidi" w:hAnsiTheme="majorBidi" w:cstheme="majorBidi"/>
          <w:lang w:val="en-GB"/>
        </w:rPr>
        <w:t>n</w:t>
      </w:r>
      <w:r w:rsidR="00974AA7" w:rsidRPr="001005A8">
        <w:rPr>
          <w:rFonts w:asciiTheme="majorBidi" w:hAnsiTheme="majorBidi" w:cstheme="majorBidi"/>
          <w:lang w:val="en-GB"/>
        </w:rPr>
        <w:t xml:space="preserve"> UNDP contribution </w:t>
      </w:r>
      <w:r w:rsidRPr="001005A8">
        <w:rPr>
          <w:rFonts w:asciiTheme="majorBidi" w:hAnsiTheme="majorBidi" w:cstheme="majorBidi"/>
          <w:lang w:val="en-GB"/>
        </w:rPr>
        <w:t>involve</w:t>
      </w:r>
      <w:r w:rsidR="00974AA7" w:rsidRPr="001005A8">
        <w:rPr>
          <w:rFonts w:asciiTheme="majorBidi" w:hAnsiTheme="majorBidi" w:cstheme="majorBidi"/>
          <w:lang w:val="en-GB"/>
        </w:rPr>
        <w:t xml:space="preserve"> roll</w:t>
      </w:r>
      <w:r w:rsidRPr="001005A8">
        <w:rPr>
          <w:rFonts w:asciiTheme="majorBidi" w:hAnsiTheme="majorBidi" w:cstheme="majorBidi"/>
          <w:lang w:val="en-GB"/>
        </w:rPr>
        <w:t>ing out</w:t>
      </w:r>
      <w:r w:rsidR="00974AA7" w:rsidRPr="001005A8">
        <w:rPr>
          <w:rFonts w:asciiTheme="majorBidi" w:hAnsiTheme="majorBidi" w:cstheme="majorBidi"/>
          <w:lang w:val="en-GB"/>
        </w:rPr>
        <w:t xml:space="preserve"> strategic support to the </w:t>
      </w:r>
      <w:r w:rsidRPr="001005A8">
        <w:rPr>
          <w:rFonts w:asciiTheme="majorBidi" w:hAnsiTheme="majorBidi" w:cstheme="majorBidi"/>
          <w:lang w:val="en-GB"/>
        </w:rPr>
        <w:t xml:space="preserve">national </w:t>
      </w:r>
      <w:r w:rsidR="00974AA7" w:rsidRPr="001005A8">
        <w:rPr>
          <w:rFonts w:asciiTheme="majorBidi" w:hAnsiTheme="majorBidi" w:cstheme="majorBidi"/>
          <w:lang w:val="en-GB"/>
        </w:rPr>
        <w:t xml:space="preserve">climate action agenda by leveraging </w:t>
      </w:r>
      <w:r w:rsidRPr="001005A8">
        <w:rPr>
          <w:rFonts w:asciiTheme="majorBidi" w:hAnsiTheme="majorBidi" w:cstheme="majorBidi"/>
          <w:lang w:val="en-GB"/>
        </w:rPr>
        <w:t>stakeholder</w:t>
      </w:r>
      <w:r w:rsidR="00974AA7" w:rsidRPr="001005A8">
        <w:rPr>
          <w:rFonts w:asciiTheme="majorBidi" w:hAnsiTheme="majorBidi" w:cstheme="majorBidi"/>
          <w:lang w:val="en-GB"/>
        </w:rPr>
        <w:t xml:space="preserve"> leadership on climate action, biodiversity, environmental protection and disaster risk reduction. UNDP will </w:t>
      </w:r>
      <w:r w:rsidRPr="001005A8">
        <w:rPr>
          <w:rFonts w:asciiTheme="majorBidi" w:hAnsiTheme="majorBidi" w:cstheme="majorBidi"/>
          <w:lang w:val="en-GB"/>
        </w:rPr>
        <w:t>improve</w:t>
      </w:r>
      <w:r w:rsidR="00974AA7" w:rsidRPr="001005A8">
        <w:rPr>
          <w:rFonts w:asciiTheme="majorBidi" w:hAnsiTheme="majorBidi" w:cstheme="majorBidi"/>
          <w:lang w:val="en-GB"/>
        </w:rPr>
        <w:t xml:space="preserve"> dialogue</w:t>
      </w:r>
      <w:r w:rsidRPr="001005A8">
        <w:rPr>
          <w:rFonts w:asciiTheme="majorBidi" w:hAnsiTheme="majorBidi" w:cstheme="majorBidi"/>
          <w:lang w:val="en-GB"/>
        </w:rPr>
        <w:t>s</w:t>
      </w:r>
      <w:r w:rsidR="00974AA7" w:rsidRPr="001005A8">
        <w:rPr>
          <w:rFonts w:asciiTheme="majorBidi" w:hAnsiTheme="majorBidi" w:cstheme="majorBidi"/>
          <w:lang w:val="en-GB"/>
        </w:rPr>
        <w:t xml:space="preserve"> with the </w:t>
      </w:r>
      <w:r w:rsidRPr="001005A8">
        <w:rPr>
          <w:rFonts w:asciiTheme="majorBidi" w:hAnsiTheme="majorBidi" w:cstheme="majorBidi"/>
          <w:lang w:val="en-GB"/>
        </w:rPr>
        <w:t>g</w:t>
      </w:r>
      <w:r w:rsidR="00974AA7" w:rsidRPr="001005A8">
        <w:rPr>
          <w:rFonts w:asciiTheme="majorBidi" w:hAnsiTheme="majorBidi" w:cstheme="majorBidi"/>
          <w:lang w:val="en-GB"/>
        </w:rPr>
        <w:t xml:space="preserve">overnment and advocate for stronger integration of priorities in development planning and development financing. Drawing on its </w:t>
      </w:r>
      <w:r w:rsidRPr="001005A8">
        <w:rPr>
          <w:rFonts w:asciiTheme="majorBidi" w:hAnsiTheme="majorBidi" w:cstheme="majorBidi"/>
          <w:lang w:val="en-GB"/>
        </w:rPr>
        <w:t>c</w:t>
      </w:r>
      <w:r w:rsidR="00974AA7" w:rsidRPr="001005A8">
        <w:rPr>
          <w:rFonts w:asciiTheme="majorBidi" w:hAnsiTheme="majorBidi" w:cstheme="majorBidi"/>
          <w:lang w:val="en-GB"/>
        </w:rPr>
        <w:t xml:space="preserve">limate </w:t>
      </w:r>
      <w:r w:rsidRPr="001005A8">
        <w:rPr>
          <w:rFonts w:asciiTheme="majorBidi" w:hAnsiTheme="majorBidi" w:cstheme="majorBidi"/>
          <w:lang w:val="en-GB"/>
        </w:rPr>
        <w:t>p</w:t>
      </w:r>
      <w:r w:rsidR="00974AA7" w:rsidRPr="001005A8">
        <w:rPr>
          <w:rFonts w:asciiTheme="majorBidi" w:hAnsiTheme="majorBidi" w:cstheme="majorBidi"/>
          <w:lang w:val="en-GB"/>
        </w:rPr>
        <w:t>romise, UNDP will continue support</w:t>
      </w:r>
      <w:r w:rsidRPr="001005A8">
        <w:rPr>
          <w:rFonts w:asciiTheme="majorBidi" w:hAnsiTheme="majorBidi" w:cstheme="majorBidi"/>
          <w:lang w:val="en-GB"/>
        </w:rPr>
        <w:t>ing</w:t>
      </w:r>
      <w:r w:rsidR="00974AA7" w:rsidRPr="001005A8">
        <w:rPr>
          <w:rFonts w:asciiTheme="majorBidi" w:hAnsiTheme="majorBidi" w:cstheme="majorBidi"/>
          <w:lang w:val="en-GB"/>
        </w:rPr>
        <w:t xml:space="preserve"> Angola in scaling up its ambitions for </w:t>
      </w:r>
      <w:r w:rsidRPr="001005A8">
        <w:rPr>
          <w:rFonts w:asciiTheme="majorBidi" w:hAnsiTheme="majorBidi" w:cstheme="majorBidi"/>
          <w:lang w:val="en-GB"/>
        </w:rPr>
        <w:t xml:space="preserve">augmenting </w:t>
      </w:r>
      <w:r w:rsidR="00974AA7" w:rsidRPr="001005A8">
        <w:rPr>
          <w:rFonts w:asciiTheme="majorBidi" w:hAnsiTheme="majorBidi" w:cstheme="majorBidi"/>
          <w:lang w:val="en-GB"/>
        </w:rPr>
        <w:t xml:space="preserve">NDCs under the Paris Agreement, while accelerating implementation of conditional contributions on climate change adaptation and mitigation. </w:t>
      </w:r>
      <w:r w:rsidRPr="001005A8">
        <w:rPr>
          <w:rFonts w:asciiTheme="majorBidi" w:hAnsiTheme="majorBidi" w:cstheme="majorBidi"/>
          <w:lang w:val="en-GB"/>
        </w:rPr>
        <w:t xml:space="preserve">This </w:t>
      </w:r>
      <w:r w:rsidR="00974AA7" w:rsidRPr="001005A8">
        <w:rPr>
          <w:rFonts w:asciiTheme="majorBidi" w:hAnsiTheme="majorBidi" w:cstheme="majorBidi"/>
          <w:lang w:val="en-GB"/>
        </w:rPr>
        <w:t>focus will draw on institutional capacities and interventions strengthened under Priority 4.</w:t>
      </w:r>
    </w:p>
    <w:p w14:paraId="7BCA12E2" w14:textId="77777777" w:rsidR="00974AA7" w:rsidRPr="001005A8" w:rsidRDefault="00974AA7" w:rsidP="00974AA7">
      <w:pPr>
        <w:pStyle w:val="ListParagraph"/>
        <w:ind w:left="993" w:right="713"/>
        <w:jc w:val="both"/>
        <w:rPr>
          <w:rFonts w:asciiTheme="majorBidi" w:hAnsiTheme="majorBidi" w:cstheme="majorBidi"/>
          <w:lang w:val="en-GB"/>
        </w:rPr>
      </w:pPr>
    </w:p>
    <w:p w14:paraId="12435A72" w14:textId="10E13E4E"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Support will be provided to the 2022-2035 National Strategy for Climate Change, the 2023-2027 Disaster Preparedness and Response Plan, 2019-2025 National Biodiversity Strategy and Action Plan, Land Degradation Neutrality Targets and National Adaptation Plans. UNDP will facilitate </w:t>
      </w:r>
      <w:r w:rsidR="002C5C71" w:rsidRPr="001005A8">
        <w:rPr>
          <w:rFonts w:asciiTheme="majorBidi" w:hAnsiTheme="majorBidi" w:cstheme="majorBidi"/>
          <w:lang w:val="en-GB"/>
        </w:rPr>
        <w:t>national stakeholder access</w:t>
      </w:r>
      <w:r w:rsidRPr="001005A8">
        <w:rPr>
          <w:rFonts w:asciiTheme="majorBidi" w:hAnsiTheme="majorBidi" w:cstheme="majorBidi"/>
          <w:lang w:val="en-GB"/>
        </w:rPr>
        <w:t xml:space="preserve"> to the GEF, LDCF, GCF and other funds, including bilateral donors and development partners to mobilize climate finance.</w:t>
      </w:r>
      <w:r w:rsidRPr="001005A8">
        <w:rPr>
          <w:lang w:val="en-GB"/>
        </w:rPr>
        <w:t xml:space="preserve"> </w:t>
      </w:r>
    </w:p>
    <w:p w14:paraId="3CF18215" w14:textId="77777777" w:rsidR="00974AA7" w:rsidRPr="001005A8" w:rsidRDefault="00974AA7" w:rsidP="00974AA7">
      <w:pPr>
        <w:pStyle w:val="ListParagraph"/>
        <w:ind w:left="993" w:right="713"/>
        <w:jc w:val="both"/>
        <w:rPr>
          <w:rFonts w:asciiTheme="majorBidi" w:hAnsiTheme="majorBidi" w:cstheme="majorBidi"/>
          <w:lang w:val="en-GB"/>
        </w:rPr>
      </w:pPr>
    </w:p>
    <w:p w14:paraId="18184216" w14:textId="493B0B55"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UNDP will support accelerated livelihood transformation solutions for off-grid communities while tackling deforestation and forest degradation through ecosystem restoration, including the promotion of climate finance and carbon markets. Partnering with the </w:t>
      </w:r>
      <w:r w:rsidR="002C5C71" w:rsidRPr="001005A8">
        <w:rPr>
          <w:rFonts w:asciiTheme="majorBidi" w:hAnsiTheme="majorBidi" w:cstheme="majorBidi"/>
          <w:lang w:val="en-GB"/>
        </w:rPr>
        <w:t>g</w:t>
      </w:r>
      <w:r w:rsidRPr="001005A8">
        <w:rPr>
          <w:rFonts w:asciiTheme="majorBidi" w:hAnsiTheme="majorBidi" w:cstheme="majorBidi"/>
          <w:lang w:val="en-GB"/>
        </w:rPr>
        <w:t xml:space="preserve">overnment, United Nations </w:t>
      </w:r>
      <w:r w:rsidR="002C5C71" w:rsidRPr="001005A8">
        <w:rPr>
          <w:rFonts w:asciiTheme="majorBidi" w:hAnsiTheme="majorBidi" w:cstheme="majorBidi"/>
          <w:lang w:val="en-GB"/>
        </w:rPr>
        <w:t xml:space="preserve">organizations </w:t>
      </w:r>
      <w:r w:rsidRPr="001005A8">
        <w:rPr>
          <w:rFonts w:asciiTheme="majorBidi" w:hAnsiTheme="majorBidi" w:cstheme="majorBidi"/>
          <w:lang w:val="en-GB"/>
        </w:rPr>
        <w:t>and the private sector, UNDP will promote a just energy transition through increased access to renewable energy for youth, women and vulnerable groups, particularly in rural areas.</w:t>
      </w:r>
    </w:p>
    <w:p w14:paraId="75AC1364" w14:textId="77777777" w:rsidR="00974AA7" w:rsidRPr="001005A8" w:rsidRDefault="00974AA7" w:rsidP="00974AA7">
      <w:pPr>
        <w:ind w:left="993" w:right="713"/>
        <w:jc w:val="both"/>
        <w:rPr>
          <w:rFonts w:asciiTheme="majorBidi" w:hAnsiTheme="majorBidi" w:cstheme="majorBidi"/>
          <w:lang w:val="en-GB"/>
        </w:rPr>
      </w:pPr>
    </w:p>
    <w:p w14:paraId="6570D584" w14:textId="118F1291"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The programme will foster effective management of biodiversity and wildlife resources, drawing on the UNDP Nature Pledge, and supporting the implementation of the 2021-2030 National Strategy for the Sea, Global Biodiversity Framework</w:t>
      </w:r>
      <w:r w:rsidR="009774D2" w:rsidRPr="001005A8">
        <w:rPr>
          <w:rFonts w:asciiTheme="majorBidi" w:hAnsiTheme="majorBidi" w:cstheme="majorBidi"/>
          <w:lang w:val="en-GB"/>
        </w:rPr>
        <w:t>,</w:t>
      </w:r>
      <w:r w:rsidRPr="001005A8">
        <w:rPr>
          <w:rFonts w:asciiTheme="majorBidi" w:hAnsiTheme="majorBidi" w:cstheme="majorBidi"/>
          <w:lang w:val="en-GB"/>
        </w:rPr>
        <w:t xml:space="preserve"> and resolutions of the United Nations Biodiversity Conference (COP 15)</w:t>
      </w:r>
      <w:r w:rsidR="009774D2" w:rsidRPr="001005A8">
        <w:rPr>
          <w:rFonts w:asciiTheme="majorBidi" w:hAnsiTheme="majorBidi" w:cstheme="majorBidi"/>
          <w:lang w:val="en-GB"/>
        </w:rPr>
        <w:t xml:space="preserve"> that include </w:t>
      </w:r>
      <w:r w:rsidRPr="001005A8">
        <w:rPr>
          <w:rFonts w:asciiTheme="majorBidi" w:hAnsiTheme="majorBidi" w:cstheme="majorBidi"/>
          <w:lang w:val="en-GB"/>
        </w:rPr>
        <w:t>marine protected areas. UNDP will promote participation of women, youth and vulnerable groups in the management and conservation of protected areas through digital platforms. UNDP will complement and partner the International Fund for Agricultural Development (IFAD), Food and Agriculture Organization (FAO) and United Nations Environment Programme (UNEP) on climate change adaptation, sustainable and resilient agriculture.</w:t>
      </w:r>
    </w:p>
    <w:p w14:paraId="34BC2243" w14:textId="77777777" w:rsidR="00974AA7" w:rsidRPr="001005A8" w:rsidRDefault="00974AA7" w:rsidP="00974AA7">
      <w:pPr>
        <w:pStyle w:val="ListParagraph"/>
        <w:ind w:left="993" w:right="713"/>
        <w:jc w:val="both"/>
        <w:rPr>
          <w:rFonts w:asciiTheme="majorBidi" w:hAnsiTheme="majorBidi" w:cstheme="majorBidi"/>
          <w:lang w:val="en-GB"/>
        </w:rPr>
      </w:pPr>
    </w:p>
    <w:p w14:paraId="307B411A" w14:textId="0A111676" w:rsidR="00974AA7" w:rsidRPr="001005A8" w:rsidRDefault="00974AA7" w:rsidP="00974AA7">
      <w:pPr>
        <w:pStyle w:val="ListParagraph"/>
        <w:spacing w:line="259" w:lineRule="auto"/>
        <w:ind w:left="993" w:right="713"/>
        <w:jc w:val="both"/>
        <w:rPr>
          <w:rFonts w:asciiTheme="majorBidi" w:hAnsiTheme="majorBidi" w:cstheme="majorBidi"/>
          <w:lang w:val="en-GB"/>
        </w:rPr>
      </w:pPr>
      <w:r w:rsidRPr="001005A8">
        <w:rPr>
          <w:rFonts w:asciiTheme="majorBidi" w:hAnsiTheme="majorBidi" w:cstheme="majorBidi"/>
          <w:b/>
          <w:bCs/>
          <w:lang w:val="en-GB"/>
        </w:rPr>
        <w:t xml:space="preserve">Priority 4: Effective and inclusive democratic governance anchored </w:t>
      </w:r>
      <w:r w:rsidR="009774D2" w:rsidRPr="001005A8">
        <w:rPr>
          <w:rFonts w:asciiTheme="majorBidi" w:hAnsiTheme="majorBidi" w:cstheme="majorBidi"/>
          <w:b/>
          <w:bCs/>
          <w:lang w:val="en-GB"/>
        </w:rPr>
        <w:t xml:space="preserve">in </w:t>
      </w:r>
      <w:r w:rsidRPr="001005A8">
        <w:rPr>
          <w:rFonts w:asciiTheme="majorBidi" w:hAnsiTheme="majorBidi" w:cstheme="majorBidi"/>
          <w:b/>
          <w:bCs/>
          <w:lang w:val="en-GB"/>
        </w:rPr>
        <w:t>human rights, and promoting peace and security</w:t>
      </w:r>
    </w:p>
    <w:p w14:paraId="037D5758" w14:textId="77777777" w:rsidR="00974AA7" w:rsidRPr="001005A8" w:rsidRDefault="00974AA7" w:rsidP="00974AA7">
      <w:pPr>
        <w:pStyle w:val="ListParagraph"/>
        <w:ind w:left="993" w:right="713"/>
        <w:jc w:val="both"/>
        <w:rPr>
          <w:rFonts w:asciiTheme="majorBidi" w:hAnsiTheme="majorBidi" w:cstheme="majorBidi"/>
          <w:b/>
          <w:bCs/>
          <w:lang w:val="en-GB"/>
        </w:rPr>
      </w:pPr>
    </w:p>
    <w:p w14:paraId="7A8C76B9" w14:textId="4D932A5E"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color w:val="000000" w:themeColor="text1"/>
          <w:lang w:val="en-GB"/>
        </w:rPr>
        <w:t xml:space="preserve">UNDP will support national and sub-national institutions in designing inclusive and gender-responsive policies to enhance access to quality health services, employment and skills development, and resilience to climate change by focusing on youth, women and vulnerable groups. </w:t>
      </w:r>
      <w:r w:rsidRPr="001005A8">
        <w:rPr>
          <w:rFonts w:asciiTheme="majorBidi" w:hAnsiTheme="majorBidi" w:cstheme="majorBidi"/>
          <w:lang w:val="en-GB"/>
        </w:rPr>
        <w:t xml:space="preserve">Drawing on its comparative advantage and expertise in decentralization and local </w:t>
      </w:r>
      <w:r w:rsidRPr="001005A8">
        <w:rPr>
          <w:rFonts w:asciiTheme="majorBidi" w:hAnsiTheme="majorBidi" w:cstheme="majorBidi"/>
          <w:lang w:val="en-GB"/>
        </w:rPr>
        <w:lastRenderedPageBreak/>
        <w:t>governance, UNDP will strengthen the institutional capacities of sub-national governments to ensure inclusive access to social services and delivery of legal remits.</w:t>
      </w:r>
    </w:p>
    <w:p w14:paraId="79B39A67" w14:textId="77777777" w:rsidR="00974AA7" w:rsidRPr="001005A8" w:rsidRDefault="00974AA7" w:rsidP="00974AA7">
      <w:pPr>
        <w:pStyle w:val="ListParagraph"/>
        <w:ind w:left="993" w:right="713"/>
        <w:jc w:val="both"/>
        <w:rPr>
          <w:rFonts w:asciiTheme="majorBidi" w:hAnsiTheme="majorBidi" w:cstheme="majorBidi"/>
          <w:lang w:val="en-GB"/>
        </w:rPr>
      </w:pPr>
    </w:p>
    <w:p w14:paraId="7A3763B7" w14:textId="2F397CB2"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To promote good governance and transparency, UNDP will support selected ministries and local authorities in digitalizing information management systems, including e-procurement and supply management systems for health. UNDP will support Angola in following up on the Universal Periodic Review</w:t>
      </w:r>
      <w:r w:rsidR="004C69EE" w:rsidRPr="001005A8">
        <w:rPr>
          <w:rFonts w:asciiTheme="majorBidi" w:hAnsiTheme="majorBidi" w:cstheme="majorBidi"/>
          <w:lang w:val="en-GB"/>
        </w:rPr>
        <w:t xml:space="preserve"> (UPR)</w:t>
      </w:r>
      <w:r w:rsidRPr="001005A8">
        <w:rPr>
          <w:rFonts w:asciiTheme="majorBidi" w:hAnsiTheme="majorBidi" w:cstheme="majorBidi"/>
          <w:lang w:val="en-GB"/>
        </w:rPr>
        <w:t xml:space="preserve"> and monitoring implementation of </w:t>
      </w:r>
      <w:r w:rsidR="004C69EE" w:rsidRPr="001005A8">
        <w:rPr>
          <w:rFonts w:asciiTheme="majorBidi" w:hAnsiTheme="majorBidi" w:cstheme="majorBidi"/>
          <w:lang w:val="en-GB"/>
        </w:rPr>
        <w:t xml:space="preserve">UPR </w:t>
      </w:r>
      <w:r w:rsidRPr="001005A8">
        <w:rPr>
          <w:rFonts w:asciiTheme="majorBidi" w:hAnsiTheme="majorBidi" w:cstheme="majorBidi"/>
          <w:lang w:val="en-GB"/>
        </w:rPr>
        <w:t>recommendations. In partnership with CSOs, UNDP will promote legal aid and digital solutions to enhance access to justice, human rights</w:t>
      </w:r>
      <w:r w:rsidR="004C69EE" w:rsidRPr="001005A8">
        <w:rPr>
          <w:rFonts w:asciiTheme="majorBidi" w:hAnsiTheme="majorBidi" w:cstheme="majorBidi"/>
          <w:lang w:val="en-GB"/>
        </w:rPr>
        <w:t>,</w:t>
      </w:r>
      <w:r w:rsidRPr="001005A8">
        <w:rPr>
          <w:rFonts w:asciiTheme="majorBidi" w:hAnsiTheme="majorBidi" w:cstheme="majorBidi"/>
          <w:lang w:val="en-GB"/>
        </w:rPr>
        <w:t xml:space="preserve"> and the participation of women, youth and vulnerable populations.</w:t>
      </w:r>
    </w:p>
    <w:p w14:paraId="39F95EE3" w14:textId="77777777" w:rsidR="00974AA7" w:rsidRPr="001005A8" w:rsidRDefault="00974AA7" w:rsidP="00974AA7">
      <w:pPr>
        <w:pStyle w:val="ListParagraph"/>
        <w:ind w:left="993" w:right="713"/>
        <w:jc w:val="both"/>
        <w:rPr>
          <w:rFonts w:asciiTheme="majorBidi" w:hAnsiTheme="majorBidi" w:cstheme="majorBidi"/>
          <w:b/>
          <w:color w:val="000000" w:themeColor="text1"/>
          <w:sz w:val="16"/>
          <w:szCs w:val="16"/>
          <w:lang w:val="en-GB"/>
        </w:rPr>
      </w:pPr>
    </w:p>
    <w:p w14:paraId="2EBA0A99" w14:textId="659046F7"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Through its Accelerator Lab, UNDP will promote agile and innovative solutions to complex development challenges, including drawing on the Integrated Sustainable Development Goals Model (iSDG). UNDP will further strengthen strategic partnerships with national and sub-national governments, the National Assembly, Ombudsman, Civil Protection, National Institute of Statistics (INE), National Institute for Employment and Vocational Training (INEFOP), National Institute for Small and Medium-sized Enterprises (INAPEM), General Tax Administration (AGT) and National Bank of Angola (BNA). UNDP will enhance partnership</w:t>
      </w:r>
      <w:r w:rsidR="004C69EE" w:rsidRPr="001005A8">
        <w:rPr>
          <w:rFonts w:asciiTheme="majorBidi" w:hAnsiTheme="majorBidi" w:cstheme="majorBidi"/>
          <w:lang w:val="en-GB"/>
        </w:rPr>
        <w:t>s</w:t>
      </w:r>
      <w:r w:rsidRPr="001005A8">
        <w:rPr>
          <w:rFonts w:asciiTheme="majorBidi" w:hAnsiTheme="majorBidi" w:cstheme="majorBidi"/>
          <w:lang w:val="en-GB"/>
        </w:rPr>
        <w:t xml:space="preserve"> with CSOs to combat discrimination, </w:t>
      </w:r>
      <w:r w:rsidR="004C69EE" w:rsidRPr="001005A8">
        <w:rPr>
          <w:rFonts w:asciiTheme="majorBidi" w:hAnsiTheme="majorBidi" w:cstheme="majorBidi"/>
          <w:lang w:val="en-GB"/>
        </w:rPr>
        <w:t xml:space="preserve">particularly </w:t>
      </w:r>
      <w:r w:rsidRPr="001005A8">
        <w:rPr>
          <w:rFonts w:asciiTheme="majorBidi" w:hAnsiTheme="majorBidi" w:cstheme="majorBidi"/>
          <w:lang w:val="en-GB"/>
        </w:rPr>
        <w:t>those based on gender, sexual orientation, gender identity</w:t>
      </w:r>
      <w:r w:rsidR="005E40BD" w:rsidRPr="001005A8">
        <w:rPr>
          <w:rFonts w:asciiTheme="majorBidi" w:hAnsiTheme="majorBidi" w:cstheme="majorBidi"/>
          <w:lang w:val="en-GB"/>
        </w:rPr>
        <w:t>,</w:t>
      </w:r>
      <w:r w:rsidRPr="001005A8">
        <w:rPr>
          <w:rFonts w:asciiTheme="majorBidi" w:hAnsiTheme="majorBidi" w:cstheme="majorBidi"/>
          <w:lang w:val="en-GB"/>
        </w:rPr>
        <w:t xml:space="preserve"> </w:t>
      </w:r>
      <w:r w:rsidR="005E40BD" w:rsidRPr="001005A8">
        <w:rPr>
          <w:rFonts w:asciiTheme="majorBidi" w:hAnsiTheme="majorBidi" w:cstheme="majorBidi"/>
          <w:lang w:val="en-GB"/>
        </w:rPr>
        <w:t xml:space="preserve">along with </w:t>
      </w:r>
      <w:r w:rsidRPr="001005A8">
        <w:rPr>
          <w:rFonts w:asciiTheme="majorBidi" w:hAnsiTheme="majorBidi" w:cstheme="majorBidi"/>
          <w:lang w:val="en-GB"/>
        </w:rPr>
        <w:t>expression to strengthen the rule of law, improve public services delivery and address social norms.</w:t>
      </w:r>
    </w:p>
    <w:p w14:paraId="32356B25" w14:textId="77777777" w:rsidR="00974AA7" w:rsidRPr="001005A8" w:rsidRDefault="00974AA7" w:rsidP="00974AA7">
      <w:pPr>
        <w:pStyle w:val="ListParagraph"/>
        <w:ind w:left="993" w:right="713"/>
        <w:rPr>
          <w:rFonts w:asciiTheme="majorBidi" w:hAnsiTheme="majorBidi" w:cstheme="majorBidi"/>
          <w:lang w:val="en-GB"/>
        </w:rPr>
      </w:pPr>
    </w:p>
    <w:p w14:paraId="465C42EF" w14:textId="1EA5A2EA"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UNDP will also </w:t>
      </w:r>
      <w:r w:rsidR="00D35EA0" w:rsidRPr="001005A8">
        <w:rPr>
          <w:rFonts w:asciiTheme="majorBidi" w:hAnsiTheme="majorBidi" w:cstheme="majorBidi"/>
          <w:lang w:val="en-GB"/>
        </w:rPr>
        <w:t>boost</w:t>
      </w:r>
      <w:r w:rsidRPr="001005A8">
        <w:rPr>
          <w:rFonts w:asciiTheme="majorBidi" w:hAnsiTheme="majorBidi" w:cstheme="majorBidi"/>
          <w:lang w:val="en-GB"/>
        </w:rPr>
        <w:t xml:space="preserve"> engagement with CSOs on inclusive governance, human rights, community engagement in health, business incubators, digital platforms and financial inclusion. UNDP will reinforce existing partnerships and promote new ones, including through South-South and triangular cooperation with Brazil to strengthen AGT tax audit capacities through Tax Inspectors Without Borders (TIWB) jointly with the Organisation for Economic Co-operation and Development (OECD)</w:t>
      </w:r>
      <w:r w:rsidR="00D35EA0" w:rsidRPr="001005A8">
        <w:rPr>
          <w:rFonts w:asciiTheme="majorBidi" w:hAnsiTheme="majorBidi" w:cstheme="majorBidi"/>
          <w:lang w:val="en-GB"/>
        </w:rPr>
        <w:t xml:space="preserve">, as well as with </w:t>
      </w:r>
      <w:r w:rsidRPr="001005A8">
        <w:rPr>
          <w:rFonts w:asciiTheme="majorBidi" w:hAnsiTheme="majorBidi" w:cstheme="majorBidi"/>
          <w:lang w:val="en-GB"/>
        </w:rPr>
        <w:t>the Southern African Development Community (SADC) to strengthen democratic governance</w:t>
      </w:r>
      <w:r w:rsidR="00D35EA0" w:rsidRPr="001005A8">
        <w:rPr>
          <w:rFonts w:asciiTheme="majorBidi" w:hAnsiTheme="majorBidi" w:cstheme="majorBidi"/>
          <w:lang w:val="en-GB"/>
        </w:rPr>
        <w:t>,</w:t>
      </w:r>
      <w:r w:rsidRPr="001005A8">
        <w:rPr>
          <w:rFonts w:asciiTheme="majorBidi" w:hAnsiTheme="majorBidi" w:cstheme="majorBidi"/>
          <w:lang w:val="en-GB"/>
        </w:rPr>
        <w:t xml:space="preserve"> </w:t>
      </w:r>
      <w:r w:rsidR="00D35EA0" w:rsidRPr="001005A8">
        <w:rPr>
          <w:rFonts w:asciiTheme="majorBidi" w:hAnsiTheme="majorBidi" w:cstheme="majorBidi"/>
          <w:lang w:val="en-GB"/>
        </w:rPr>
        <w:t xml:space="preserve">and </w:t>
      </w:r>
      <w:r w:rsidRPr="001005A8">
        <w:rPr>
          <w:rFonts w:asciiTheme="majorBidi" w:hAnsiTheme="majorBidi" w:cstheme="majorBidi"/>
          <w:lang w:val="en-GB"/>
        </w:rPr>
        <w:t>Portuguese-speaking African countries (PALOP) to improve institutional capacities on public finance management and accountability.</w:t>
      </w:r>
    </w:p>
    <w:p w14:paraId="5C809228" w14:textId="77777777" w:rsidR="00974AA7" w:rsidRPr="001005A8" w:rsidRDefault="00974AA7" w:rsidP="00974AA7">
      <w:pPr>
        <w:pStyle w:val="ListParagraph"/>
        <w:ind w:left="993" w:right="713"/>
        <w:rPr>
          <w:rFonts w:asciiTheme="majorBidi" w:hAnsiTheme="majorBidi" w:cstheme="majorBidi"/>
          <w:lang w:val="en-GB"/>
        </w:rPr>
      </w:pPr>
    </w:p>
    <w:p w14:paraId="4B73DF5F" w14:textId="3131B4DE" w:rsidR="00974AA7" w:rsidRPr="001005A8" w:rsidRDefault="00974AA7" w:rsidP="0004265D">
      <w:pPr>
        <w:pStyle w:val="ListParagraph"/>
        <w:numPr>
          <w:ilvl w:val="0"/>
          <w:numId w:val="1"/>
        </w:numPr>
        <w:spacing w:line="259" w:lineRule="auto"/>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UNDP will complement </w:t>
      </w:r>
      <w:r w:rsidR="00D35EA0" w:rsidRPr="001005A8">
        <w:rPr>
          <w:rFonts w:asciiTheme="majorBidi" w:hAnsiTheme="majorBidi" w:cstheme="majorBidi"/>
          <w:lang w:val="en-GB"/>
        </w:rPr>
        <w:t>the work of the</w:t>
      </w:r>
      <w:r w:rsidRPr="001005A8">
        <w:rPr>
          <w:rFonts w:asciiTheme="majorBidi" w:hAnsiTheme="majorBidi" w:cstheme="majorBidi"/>
          <w:lang w:val="en-GB"/>
        </w:rPr>
        <w:t xml:space="preserve"> Office of the United Nations High Commissioner for Human Rights (OHCHR) and United Nations High Commissioner for Refugees (UNHCR) on human rights </w:t>
      </w:r>
      <w:r w:rsidR="005B4672" w:rsidRPr="001005A8">
        <w:rPr>
          <w:rFonts w:asciiTheme="majorBidi" w:hAnsiTheme="majorBidi" w:cstheme="majorBidi"/>
          <w:lang w:val="en-GB"/>
        </w:rPr>
        <w:t>promotion</w:t>
      </w:r>
      <w:r w:rsidR="00D35EA0" w:rsidRPr="001005A8">
        <w:rPr>
          <w:rFonts w:asciiTheme="majorBidi" w:hAnsiTheme="majorBidi" w:cstheme="majorBidi"/>
          <w:lang w:val="en-GB"/>
        </w:rPr>
        <w:t>,</w:t>
      </w:r>
      <w:r w:rsidRPr="001005A8">
        <w:rPr>
          <w:rFonts w:asciiTheme="majorBidi" w:hAnsiTheme="majorBidi" w:cstheme="majorBidi"/>
          <w:lang w:val="en-GB"/>
        </w:rPr>
        <w:t xml:space="preserve"> UN Women on gender equality and women empowerment</w:t>
      </w:r>
      <w:r w:rsidR="00D35EA0" w:rsidRPr="001005A8">
        <w:rPr>
          <w:rFonts w:asciiTheme="majorBidi" w:hAnsiTheme="majorBidi" w:cstheme="majorBidi"/>
          <w:lang w:val="en-GB"/>
        </w:rPr>
        <w:t>,</w:t>
      </w:r>
      <w:r w:rsidRPr="001005A8">
        <w:rPr>
          <w:rFonts w:asciiTheme="majorBidi" w:hAnsiTheme="majorBidi" w:cstheme="majorBidi"/>
          <w:lang w:val="en-GB"/>
        </w:rPr>
        <w:t xml:space="preserve"> and United Nations Volunteers (UNV) </w:t>
      </w:r>
      <w:r w:rsidR="00D35EA0" w:rsidRPr="001005A8">
        <w:rPr>
          <w:rFonts w:asciiTheme="majorBidi" w:hAnsiTheme="majorBidi" w:cstheme="majorBidi"/>
          <w:lang w:val="en-GB"/>
        </w:rPr>
        <w:t xml:space="preserve">in </w:t>
      </w:r>
      <w:r w:rsidRPr="001005A8">
        <w:rPr>
          <w:rFonts w:asciiTheme="majorBidi" w:hAnsiTheme="majorBidi" w:cstheme="majorBidi"/>
          <w:lang w:val="en-GB"/>
        </w:rPr>
        <w:t>promot</w:t>
      </w:r>
      <w:r w:rsidR="00D35EA0" w:rsidRPr="001005A8">
        <w:rPr>
          <w:rFonts w:asciiTheme="majorBidi" w:hAnsiTheme="majorBidi" w:cstheme="majorBidi"/>
          <w:lang w:val="en-GB"/>
        </w:rPr>
        <w:t>ing</w:t>
      </w:r>
      <w:r w:rsidRPr="001005A8">
        <w:rPr>
          <w:rFonts w:asciiTheme="majorBidi" w:hAnsiTheme="majorBidi" w:cstheme="majorBidi"/>
          <w:lang w:val="en-GB"/>
        </w:rPr>
        <w:t xml:space="preserve"> volunteering opportunities for women, youth and vulnerable populations. The country programme was elaborated in consultation with national partners through workshops held between November 2022 and February 2023.</w:t>
      </w:r>
    </w:p>
    <w:p w14:paraId="63DF9E14" w14:textId="77777777" w:rsidR="00974AA7" w:rsidRPr="001005A8" w:rsidRDefault="00974AA7" w:rsidP="00974AA7">
      <w:pPr>
        <w:pStyle w:val="Heading2"/>
        <w:ind w:left="993" w:right="713"/>
        <w:jc w:val="both"/>
        <w:rPr>
          <w:rFonts w:asciiTheme="majorBidi" w:hAnsiTheme="majorBidi" w:cstheme="majorBidi"/>
          <w:color w:val="000000" w:themeColor="text1"/>
          <w:sz w:val="24"/>
          <w:szCs w:val="24"/>
          <w:lang w:val="en-GB"/>
        </w:rPr>
      </w:pPr>
    </w:p>
    <w:p w14:paraId="3442B07F" w14:textId="40EFEA44" w:rsidR="00974AA7" w:rsidRPr="001005A8" w:rsidRDefault="00974AA7" w:rsidP="00974AA7">
      <w:pPr>
        <w:pStyle w:val="Heading2"/>
        <w:ind w:left="993" w:right="713" w:hanging="567"/>
        <w:jc w:val="both"/>
        <w:rPr>
          <w:rFonts w:asciiTheme="majorBidi" w:hAnsiTheme="majorBidi" w:cstheme="majorBidi"/>
          <w:color w:val="000000" w:themeColor="text1"/>
          <w:sz w:val="24"/>
          <w:szCs w:val="24"/>
          <w:lang w:val="en-GB"/>
        </w:rPr>
      </w:pPr>
      <w:r w:rsidRPr="001005A8">
        <w:rPr>
          <w:rFonts w:asciiTheme="majorBidi" w:hAnsiTheme="majorBidi" w:cstheme="majorBidi"/>
          <w:color w:val="000000" w:themeColor="text1"/>
          <w:sz w:val="24"/>
          <w:szCs w:val="24"/>
          <w:lang w:val="en-GB"/>
        </w:rPr>
        <w:t xml:space="preserve">III. </w:t>
      </w:r>
      <w:r w:rsidRPr="001005A8">
        <w:rPr>
          <w:rFonts w:asciiTheme="majorBidi" w:hAnsiTheme="majorBidi" w:cstheme="majorBidi"/>
          <w:color w:val="000000" w:themeColor="text1"/>
          <w:sz w:val="24"/>
          <w:szCs w:val="24"/>
          <w:lang w:val="en-GB"/>
        </w:rPr>
        <w:tab/>
        <w:t xml:space="preserve">Programme and </w:t>
      </w:r>
      <w:r w:rsidR="004A7826" w:rsidRPr="001005A8">
        <w:rPr>
          <w:rFonts w:asciiTheme="majorBidi" w:hAnsiTheme="majorBidi" w:cstheme="majorBidi"/>
          <w:color w:val="000000" w:themeColor="text1"/>
          <w:sz w:val="24"/>
          <w:szCs w:val="24"/>
          <w:lang w:val="en-GB"/>
        </w:rPr>
        <w:t>r</w:t>
      </w:r>
      <w:r w:rsidRPr="001005A8">
        <w:rPr>
          <w:rFonts w:asciiTheme="majorBidi" w:hAnsiTheme="majorBidi" w:cstheme="majorBidi"/>
          <w:color w:val="000000" w:themeColor="text1"/>
          <w:sz w:val="24"/>
          <w:szCs w:val="24"/>
          <w:lang w:val="en-GB"/>
        </w:rPr>
        <w:t xml:space="preserve">isk </w:t>
      </w:r>
      <w:r w:rsidR="004A7826" w:rsidRPr="001005A8">
        <w:rPr>
          <w:rFonts w:asciiTheme="majorBidi" w:hAnsiTheme="majorBidi" w:cstheme="majorBidi"/>
          <w:color w:val="000000" w:themeColor="text1"/>
          <w:sz w:val="24"/>
          <w:szCs w:val="24"/>
          <w:lang w:val="en-GB"/>
        </w:rPr>
        <w:t>m</w:t>
      </w:r>
      <w:r w:rsidRPr="001005A8">
        <w:rPr>
          <w:rFonts w:asciiTheme="majorBidi" w:hAnsiTheme="majorBidi" w:cstheme="majorBidi"/>
          <w:color w:val="000000" w:themeColor="text1"/>
          <w:sz w:val="24"/>
          <w:szCs w:val="24"/>
          <w:lang w:val="en-GB"/>
        </w:rPr>
        <w:t xml:space="preserve">anagement </w:t>
      </w:r>
    </w:p>
    <w:p w14:paraId="7D79D6B1" w14:textId="77777777" w:rsidR="00974AA7" w:rsidRPr="001005A8" w:rsidRDefault="00974AA7" w:rsidP="00974AA7">
      <w:pPr>
        <w:tabs>
          <w:tab w:val="left" w:pos="1800"/>
        </w:tabs>
        <w:ind w:left="993" w:right="713"/>
        <w:rPr>
          <w:rFonts w:asciiTheme="majorBidi" w:hAnsiTheme="majorBidi" w:cstheme="majorBidi"/>
          <w:lang w:val="en-GB"/>
        </w:rPr>
      </w:pPr>
    </w:p>
    <w:p w14:paraId="462E4D58" w14:textId="3759C5E8"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This country programme document outlines UNDP contributions to national results and serves as the primary unit of accountability to the Executive Board for results alignment and resources assigned to the programme at country level. Accountabilities of managers at the country, regional and headquarters levels with respect to country programmes are prescribed in the organization’s Programme and Operations Policies and Procedures and Internal Control Framework.</w:t>
      </w:r>
    </w:p>
    <w:p w14:paraId="795A0B59" w14:textId="77777777" w:rsidR="00974AA7" w:rsidRPr="001005A8" w:rsidRDefault="00974AA7" w:rsidP="00974AA7">
      <w:pPr>
        <w:pStyle w:val="ListParagraph"/>
        <w:ind w:left="993" w:right="713"/>
        <w:jc w:val="both"/>
        <w:rPr>
          <w:rFonts w:asciiTheme="majorBidi" w:hAnsiTheme="majorBidi" w:cstheme="majorBidi"/>
          <w:lang w:val="en-GB"/>
        </w:rPr>
      </w:pPr>
    </w:p>
    <w:p w14:paraId="0E724222" w14:textId="77777777"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The programme will be nationally executed. If necessary, national execution may be replaced by direct execution for part or all of the programme to enable a response to force majeure. Harmonized Approach to Cash Transfers (HACT) will be used in a coordinated fashion with other United Nations Agencies to manage financial risks. Cost definitions and classifications for programme and development effectiveness will be charged to the concerned projects. A representative Programme Board will be constituted, including project and community-level oversight and grievance mechanisms, as required under quality programming standards.</w:t>
      </w:r>
    </w:p>
    <w:p w14:paraId="505FBBF0" w14:textId="77777777" w:rsidR="00974AA7" w:rsidRPr="001005A8" w:rsidRDefault="00974AA7" w:rsidP="00974AA7">
      <w:pPr>
        <w:pStyle w:val="ListParagraph"/>
        <w:tabs>
          <w:tab w:val="left" w:pos="8640"/>
        </w:tabs>
        <w:ind w:left="993" w:right="713"/>
        <w:jc w:val="both"/>
        <w:rPr>
          <w:rFonts w:asciiTheme="majorBidi" w:hAnsiTheme="majorBidi" w:cstheme="majorBidi"/>
          <w:lang w:val="en-GB"/>
        </w:rPr>
      </w:pPr>
    </w:p>
    <w:p w14:paraId="03B9B8C3" w14:textId="69AA0401"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lastRenderedPageBreak/>
        <w:t xml:space="preserve">Five major areas of risk have been identified: (a) increased global turmoil and uncertainty leading to sustained inflation, unemployment and economic instability; (b) frequent changes in government and focal points, hampering programme implementation; (c) climate change and disasters causing notable loss and damages, reducing engagement of communities in development projects; (d) resurgence of </w:t>
      </w:r>
      <w:r w:rsidR="00D35EA0" w:rsidRPr="001005A8">
        <w:rPr>
          <w:rFonts w:asciiTheme="majorBidi" w:hAnsiTheme="majorBidi" w:cstheme="majorBidi"/>
          <w:lang w:val="en-GB"/>
        </w:rPr>
        <w:t>COVID</w:t>
      </w:r>
      <w:r w:rsidRPr="001005A8">
        <w:rPr>
          <w:rFonts w:asciiTheme="majorBidi" w:hAnsiTheme="majorBidi" w:cstheme="majorBidi"/>
          <w:lang w:val="en-GB"/>
        </w:rPr>
        <w:t>-19 that may jeopardize the ability of UNDP to deliver on expected results</w:t>
      </w:r>
      <w:r w:rsidR="00D35EA0" w:rsidRPr="001005A8">
        <w:rPr>
          <w:rFonts w:asciiTheme="majorBidi" w:hAnsiTheme="majorBidi" w:cstheme="majorBidi"/>
          <w:lang w:val="en-GB"/>
        </w:rPr>
        <w:t>, and</w:t>
      </w:r>
      <w:r w:rsidRPr="001005A8">
        <w:rPr>
          <w:rFonts w:asciiTheme="majorBidi" w:hAnsiTheme="majorBidi" w:cstheme="majorBidi"/>
          <w:lang w:val="en-GB"/>
        </w:rPr>
        <w:t xml:space="preserve"> (e) graduation of Angola from LDC</w:t>
      </w:r>
      <w:r w:rsidR="00D35EA0" w:rsidRPr="001005A8">
        <w:rPr>
          <w:rFonts w:asciiTheme="majorBidi" w:hAnsiTheme="majorBidi" w:cstheme="majorBidi"/>
          <w:lang w:val="en-GB"/>
        </w:rPr>
        <w:t xml:space="preserve">, which leads </w:t>
      </w:r>
      <w:r w:rsidRPr="001005A8">
        <w:rPr>
          <w:rFonts w:asciiTheme="majorBidi" w:hAnsiTheme="majorBidi" w:cstheme="majorBidi"/>
          <w:lang w:val="en-GB"/>
        </w:rPr>
        <w:t xml:space="preserve">to changes in </w:t>
      </w:r>
      <w:r w:rsidR="00D35EA0" w:rsidRPr="001005A8">
        <w:rPr>
          <w:rFonts w:asciiTheme="majorBidi" w:hAnsiTheme="majorBidi" w:cstheme="majorBidi"/>
          <w:lang w:val="en-GB"/>
        </w:rPr>
        <w:t xml:space="preserve">country </w:t>
      </w:r>
      <w:r w:rsidRPr="001005A8">
        <w:rPr>
          <w:rFonts w:asciiTheme="majorBidi" w:hAnsiTheme="majorBidi" w:cstheme="majorBidi"/>
          <w:lang w:val="en-GB"/>
        </w:rPr>
        <w:t xml:space="preserve">access to development </w:t>
      </w:r>
      <w:r w:rsidR="00D35EA0" w:rsidRPr="001005A8">
        <w:rPr>
          <w:rFonts w:asciiTheme="majorBidi" w:hAnsiTheme="majorBidi" w:cstheme="majorBidi"/>
          <w:lang w:val="en-GB"/>
        </w:rPr>
        <w:t xml:space="preserve">financing </w:t>
      </w:r>
      <w:r w:rsidRPr="001005A8">
        <w:rPr>
          <w:rFonts w:asciiTheme="majorBidi" w:hAnsiTheme="majorBidi" w:cstheme="majorBidi"/>
          <w:lang w:val="en-GB"/>
        </w:rPr>
        <w:t>and regular resource allocation to the programme.</w:t>
      </w:r>
    </w:p>
    <w:p w14:paraId="06F1CAC3" w14:textId="77777777" w:rsidR="00974AA7" w:rsidRPr="001005A8" w:rsidRDefault="00974AA7" w:rsidP="00974AA7">
      <w:pPr>
        <w:pStyle w:val="ListParagraph"/>
        <w:ind w:left="993" w:right="713"/>
        <w:rPr>
          <w:rFonts w:asciiTheme="majorBidi" w:hAnsiTheme="majorBidi" w:cstheme="majorBidi"/>
          <w:lang w:val="en-GB"/>
        </w:rPr>
      </w:pPr>
    </w:p>
    <w:p w14:paraId="04FC5DFB" w14:textId="19AF03AC"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Mitigation actions will</w:t>
      </w:r>
      <w:r w:rsidR="00D35EA0" w:rsidRPr="001005A8">
        <w:rPr>
          <w:rFonts w:asciiTheme="majorBidi" w:hAnsiTheme="majorBidi" w:cstheme="majorBidi"/>
          <w:lang w:val="en-GB"/>
        </w:rPr>
        <w:t xml:space="preserve"> </w:t>
      </w:r>
      <w:r w:rsidRPr="001005A8">
        <w:rPr>
          <w:rFonts w:asciiTheme="majorBidi" w:hAnsiTheme="majorBidi" w:cstheme="majorBidi"/>
          <w:lang w:val="en-GB"/>
        </w:rPr>
        <w:t>include: (a) monitoring of the political economy to inform adjustments to the theory of change and planned programme; (b) continuing to strengthen programmatic, institutional and organizational capacities of government and non-government counterparts; (c) ensuring a balance between upstream and downstream interventions, and between short-term and long-term responses; (d) working with national, sub-national authorities and non-state partners to promote readiness to pandemics, natural hazards and disaster risk reduction; (e) updating the business continuity plan of UNDP as needed</w:t>
      </w:r>
      <w:r w:rsidR="00D35EA0" w:rsidRPr="001005A8">
        <w:rPr>
          <w:rFonts w:asciiTheme="majorBidi" w:hAnsiTheme="majorBidi" w:cstheme="majorBidi"/>
          <w:lang w:val="en-GB"/>
        </w:rPr>
        <w:t>, and</w:t>
      </w:r>
      <w:r w:rsidRPr="001005A8">
        <w:rPr>
          <w:rFonts w:asciiTheme="majorBidi" w:hAnsiTheme="majorBidi" w:cstheme="majorBidi"/>
          <w:lang w:val="en-GB"/>
        </w:rPr>
        <w:t xml:space="preserve"> (f) designing contingency scenarios to face potential challenges in securing adequate resources, including joint funding opportunities with national counterparts.</w:t>
      </w:r>
    </w:p>
    <w:p w14:paraId="60AE1011" w14:textId="77777777" w:rsidR="00974AA7" w:rsidRPr="001005A8" w:rsidRDefault="00974AA7" w:rsidP="00974AA7">
      <w:pPr>
        <w:pStyle w:val="ListParagraph"/>
        <w:tabs>
          <w:tab w:val="left" w:pos="8640"/>
        </w:tabs>
        <w:ind w:left="993" w:right="713"/>
        <w:jc w:val="both"/>
        <w:rPr>
          <w:rFonts w:asciiTheme="majorBidi" w:hAnsiTheme="majorBidi" w:cstheme="majorBidi"/>
          <w:lang w:val="en-GB"/>
        </w:rPr>
      </w:pPr>
    </w:p>
    <w:p w14:paraId="10AB4AA0" w14:textId="3428652A"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Through the application of </w:t>
      </w:r>
      <w:r w:rsidR="00D35EA0" w:rsidRPr="001005A8">
        <w:rPr>
          <w:rFonts w:asciiTheme="majorBidi" w:hAnsiTheme="majorBidi" w:cstheme="majorBidi"/>
          <w:lang w:val="en-GB"/>
        </w:rPr>
        <w:t>s</w:t>
      </w:r>
      <w:r w:rsidRPr="001005A8">
        <w:rPr>
          <w:rFonts w:asciiTheme="majorBidi" w:hAnsiTheme="majorBidi" w:cstheme="majorBidi"/>
          <w:lang w:val="en-GB"/>
        </w:rPr>
        <w:t xml:space="preserve">ocial </w:t>
      </w:r>
      <w:r w:rsidR="00D35EA0" w:rsidRPr="001005A8">
        <w:rPr>
          <w:rFonts w:asciiTheme="majorBidi" w:hAnsiTheme="majorBidi" w:cstheme="majorBidi"/>
          <w:lang w:val="en-GB"/>
        </w:rPr>
        <w:t>e</w:t>
      </w:r>
      <w:r w:rsidRPr="001005A8">
        <w:rPr>
          <w:rFonts w:asciiTheme="majorBidi" w:hAnsiTheme="majorBidi" w:cstheme="majorBidi"/>
          <w:lang w:val="en-GB"/>
        </w:rPr>
        <w:t xml:space="preserve">nvironmental </w:t>
      </w:r>
      <w:r w:rsidR="00D35EA0" w:rsidRPr="001005A8">
        <w:rPr>
          <w:rFonts w:asciiTheme="majorBidi" w:hAnsiTheme="majorBidi" w:cstheme="majorBidi"/>
          <w:lang w:val="en-GB"/>
        </w:rPr>
        <w:t>s</w:t>
      </w:r>
      <w:r w:rsidRPr="001005A8">
        <w:rPr>
          <w:rFonts w:asciiTheme="majorBidi" w:hAnsiTheme="majorBidi" w:cstheme="majorBidi"/>
          <w:lang w:val="en-GB"/>
        </w:rPr>
        <w:t xml:space="preserve">tandards and accountability mechanisms, including addressing grievance and accountability mechanisms at </w:t>
      </w:r>
      <w:r w:rsidR="00D35EA0" w:rsidRPr="001005A8">
        <w:rPr>
          <w:rFonts w:asciiTheme="majorBidi" w:hAnsiTheme="majorBidi" w:cstheme="majorBidi"/>
          <w:lang w:val="en-GB"/>
        </w:rPr>
        <w:t xml:space="preserve">the </w:t>
      </w:r>
      <w:r w:rsidRPr="001005A8">
        <w:rPr>
          <w:rFonts w:asciiTheme="majorBidi" w:hAnsiTheme="majorBidi" w:cstheme="majorBidi"/>
          <w:lang w:val="en-GB"/>
        </w:rPr>
        <w:t xml:space="preserve">programme level, UNDP will manage identified risks </w:t>
      </w:r>
      <w:r w:rsidR="00D35EA0" w:rsidRPr="001005A8">
        <w:rPr>
          <w:rFonts w:asciiTheme="majorBidi" w:hAnsiTheme="majorBidi" w:cstheme="majorBidi"/>
          <w:lang w:val="en-GB"/>
        </w:rPr>
        <w:t xml:space="preserve">to </w:t>
      </w:r>
      <w:r w:rsidRPr="001005A8">
        <w:rPr>
          <w:rFonts w:asciiTheme="majorBidi" w:hAnsiTheme="majorBidi" w:cstheme="majorBidi"/>
          <w:lang w:val="en-GB"/>
        </w:rPr>
        <w:t>mitigate impact on programme implementation. Emphasis will be placed on promoting Sustainable Development Goal</w:t>
      </w:r>
      <w:r w:rsidR="00D35EA0" w:rsidRPr="001005A8">
        <w:rPr>
          <w:rFonts w:asciiTheme="majorBidi" w:hAnsiTheme="majorBidi" w:cstheme="majorBidi"/>
          <w:lang w:val="en-GB"/>
        </w:rPr>
        <w:t xml:space="preserve"> mainstreaming</w:t>
      </w:r>
      <w:r w:rsidRPr="001005A8">
        <w:rPr>
          <w:rFonts w:asciiTheme="majorBidi" w:hAnsiTheme="majorBidi" w:cstheme="majorBidi"/>
          <w:lang w:val="en-GB"/>
        </w:rPr>
        <w:t xml:space="preserve"> in development planning and financing. UNDP </w:t>
      </w:r>
      <w:r w:rsidR="00D35EA0" w:rsidRPr="001005A8">
        <w:rPr>
          <w:rFonts w:asciiTheme="majorBidi" w:hAnsiTheme="majorBidi" w:cstheme="majorBidi"/>
          <w:lang w:val="en-GB"/>
        </w:rPr>
        <w:t>and the government are responsible for</w:t>
      </w:r>
      <w:r w:rsidRPr="001005A8">
        <w:rPr>
          <w:rFonts w:asciiTheme="majorBidi" w:hAnsiTheme="majorBidi" w:cstheme="majorBidi"/>
          <w:lang w:val="en-GB"/>
        </w:rPr>
        <w:t xml:space="preserve"> the </w:t>
      </w:r>
      <w:r w:rsidR="00D35EA0" w:rsidRPr="001005A8">
        <w:rPr>
          <w:rFonts w:asciiTheme="majorBidi" w:hAnsiTheme="majorBidi" w:cstheme="majorBidi"/>
          <w:lang w:val="en-GB"/>
        </w:rPr>
        <w:t xml:space="preserve">timely </w:t>
      </w:r>
      <w:r w:rsidRPr="001005A8">
        <w:rPr>
          <w:rFonts w:asciiTheme="majorBidi" w:hAnsiTheme="majorBidi" w:cstheme="majorBidi"/>
          <w:lang w:val="en-GB"/>
        </w:rPr>
        <w:t>set-up of the country programme board, inclusive and portfolio-project boards. UNDP will ensure human capacities, management and oversight mechanisms</w:t>
      </w:r>
      <w:r w:rsidR="00D35EA0" w:rsidRPr="001005A8">
        <w:rPr>
          <w:rFonts w:asciiTheme="majorBidi" w:hAnsiTheme="majorBidi" w:cstheme="majorBidi"/>
          <w:lang w:val="en-GB"/>
        </w:rPr>
        <w:t xml:space="preserve"> are adequate for achieving programme aims</w:t>
      </w:r>
      <w:r w:rsidRPr="001005A8">
        <w:rPr>
          <w:rFonts w:asciiTheme="majorBidi" w:hAnsiTheme="majorBidi" w:cstheme="majorBidi"/>
          <w:lang w:val="en-GB"/>
        </w:rPr>
        <w:t>.</w:t>
      </w:r>
    </w:p>
    <w:p w14:paraId="165A8590" w14:textId="77777777" w:rsidR="00974AA7" w:rsidRPr="001005A8" w:rsidRDefault="00974AA7" w:rsidP="00974AA7">
      <w:pPr>
        <w:ind w:left="993" w:right="713"/>
        <w:jc w:val="both"/>
        <w:rPr>
          <w:rFonts w:asciiTheme="majorBidi" w:hAnsiTheme="majorBidi" w:cstheme="majorBidi"/>
          <w:color w:val="000000" w:themeColor="text1"/>
          <w:lang w:val="en-GB"/>
        </w:rPr>
      </w:pPr>
    </w:p>
    <w:p w14:paraId="29C2A9F3" w14:textId="20DAD5BC" w:rsidR="00974AA7" w:rsidRPr="001005A8" w:rsidRDefault="00974AA7" w:rsidP="00974AA7">
      <w:pPr>
        <w:pStyle w:val="Heading2"/>
        <w:ind w:left="993" w:right="713" w:hanging="567"/>
        <w:jc w:val="both"/>
        <w:rPr>
          <w:rFonts w:asciiTheme="majorBidi" w:hAnsiTheme="majorBidi" w:cstheme="majorBidi"/>
          <w:color w:val="000000"/>
          <w:sz w:val="24"/>
          <w:szCs w:val="24"/>
          <w:lang w:val="en-GB"/>
        </w:rPr>
      </w:pPr>
      <w:r w:rsidRPr="001005A8">
        <w:rPr>
          <w:rFonts w:asciiTheme="majorBidi" w:hAnsiTheme="majorBidi" w:cstheme="majorBidi"/>
          <w:color w:val="000000" w:themeColor="text1"/>
          <w:sz w:val="24"/>
          <w:szCs w:val="24"/>
          <w:lang w:val="en-GB"/>
        </w:rPr>
        <w:t xml:space="preserve">IV. </w:t>
      </w:r>
      <w:r w:rsidRPr="001005A8">
        <w:rPr>
          <w:rFonts w:asciiTheme="majorBidi" w:hAnsiTheme="majorBidi" w:cstheme="majorBidi"/>
          <w:color w:val="000000" w:themeColor="text1"/>
          <w:sz w:val="24"/>
          <w:szCs w:val="24"/>
          <w:lang w:val="en-GB"/>
        </w:rPr>
        <w:tab/>
        <w:t xml:space="preserve">Monitoring and </w:t>
      </w:r>
      <w:r w:rsidR="004A7826" w:rsidRPr="001005A8">
        <w:rPr>
          <w:rFonts w:asciiTheme="majorBidi" w:hAnsiTheme="majorBidi" w:cstheme="majorBidi"/>
          <w:color w:val="000000" w:themeColor="text1"/>
          <w:sz w:val="24"/>
          <w:szCs w:val="24"/>
          <w:lang w:val="en-GB"/>
        </w:rPr>
        <w:t>e</w:t>
      </w:r>
      <w:r w:rsidRPr="001005A8">
        <w:rPr>
          <w:rFonts w:asciiTheme="majorBidi" w:hAnsiTheme="majorBidi" w:cstheme="majorBidi"/>
          <w:color w:val="000000" w:themeColor="text1"/>
          <w:sz w:val="24"/>
          <w:szCs w:val="24"/>
          <w:lang w:val="en-GB"/>
        </w:rPr>
        <w:t>valuation</w:t>
      </w:r>
    </w:p>
    <w:p w14:paraId="2BFE9171" w14:textId="77777777" w:rsidR="00974AA7" w:rsidRPr="001005A8" w:rsidRDefault="00974AA7" w:rsidP="00974AA7">
      <w:pPr>
        <w:pStyle w:val="Heading1"/>
        <w:tabs>
          <w:tab w:val="left" w:pos="1800"/>
        </w:tabs>
        <w:ind w:left="993" w:right="713"/>
        <w:jc w:val="both"/>
        <w:rPr>
          <w:rFonts w:asciiTheme="majorBidi" w:hAnsiTheme="majorBidi" w:cstheme="majorBidi"/>
          <w:color w:val="000000"/>
          <w:sz w:val="24"/>
          <w:szCs w:val="24"/>
          <w:lang w:val="en-GB"/>
        </w:rPr>
      </w:pPr>
    </w:p>
    <w:p w14:paraId="601E5E70" w14:textId="7029946D"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UNDP will pursue an inclusive approach to monitoring and evaluation, working alongside United Nations </w:t>
      </w:r>
      <w:r w:rsidR="00D35EA0" w:rsidRPr="001005A8">
        <w:rPr>
          <w:rFonts w:asciiTheme="majorBidi" w:hAnsiTheme="majorBidi" w:cstheme="majorBidi"/>
          <w:lang w:val="en-GB"/>
        </w:rPr>
        <w:t>organizations, the g</w:t>
      </w:r>
      <w:r w:rsidRPr="001005A8">
        <w:rPr>
          <w:rFonts w:asciiTheme="majorBidi" w:hAnsiTheme="majorBidi" w:cstheme="majorBidi"/>
          <w:lang w:val="en-GB"/>
        </w:rPr>
        <w:t xml:space="preserve">overnment, development partners and CSOs through Outcome Monitoring and Evaluation Results </w:t>
      </w:r>
      <w:r w:rsidR="00D35EA0" w:rsidRPr="001005A8">
        <w:rPr>
          <w:rFonts w:asciiTheme="majorBidi" w:hAnsiTheme="majorBidi" w:cstheme="majorBidi"/>
          <w:lang w:val="en-GB"/>
        </w:rPr>
        <w:t>g</w:t>
      </w:r>
      <w:r w:rsidRPr="001005A8">
        <w:rPr>
          <w:rFonts w:asciiTheme="majorBidi" w:hAnsiTheme="majorBidi" w:cstheme="majorBidi"/>
          <w:lang w:val="en-GB"/>
        </w:rPr>
        <w:t xml:space="preserve">roups, adopting mixed data collection, analysis methods and upholding a human rights-based approach. Support to the </w:t>
      </w:r>
      <w:r w:rsidR="00D35EA0" w:rsidRPr="001005A8">
        <w:rPr>
          <w:rFonts w:asciiTheme="majorBidi" w:hAnsiTheme="majorBidi" w:cstheme="majorBidi"/>
          <w:lang w:val="en-GB"/>
        </w:rPr>
        <w:t>g</w:t>
      </w:r>
      <w:r w:rsidRPr="001005A8">
        <w:rPr>
          <w:rFonts w:asciiTheme="majorBidi" w:hAnsiTheme="majorBidi" w:cstheme="majorBidi"/>
          <w:lang w:val="en-GB"/>
        </w:rPr>
        <w:t xml:space="preserve">overnment and national priorities </w:t>
      </w:r>
      <w:r w:rsidR="000C3CC4" w:rsidRPr="001005A8">
        <w:rPr>
          <w:rFonts w:asciiTheme="majorBidi" w:hAnsiTheme="majorBidi" w:cstheme="majorBidi"/>
          <w:lang w:val="en-GB"/>
        </w:rPr>
        <w:t>is</w:t>
      </w:r>
      <w:r w:rsidRPr="001005A8">
        <w:rPr>
          <w:rFonts w:asciiTheme="majorBidi" w:hAnsiTheme="majorBidi" w:cstheme="majorBidi"/>
          <w:lang w:val="en-GB"/>
        </w:rPr>
        <w:t xml:space="preserve"> evidence-based and results-driven, </w:t>
      </w:r>
      <w:r w:rsidR="00413941" w:rsidRPr="001005A8">
        <w:rPr>
          <w:rFonts w:asciiTheme="majorBidi" w:hAnsiTheme="majorBidi" w:cstheme="majorBidi"/>
          <w:lang w:val="en-GB"/>
        </w:rPr>
        <w:t>and r</w:t>
      </w:r>
      <w:r w:rsidR="000C3CC4" w:rsidRPr="001005A8">
        <w:rPr>
          <w:rFonts w:asciiTheme="majorBidi" w:hAnsiTheme="majorBidi" w:cstheme="majorBidi"/>
          <w:lang w:val="en-GB"/>
        </w:rPr>
        <w:t>elies</w:t>
      </w:r>
      <w:r w:rsidR="00413941" w:rsidRPr="001005A8">
        <w:rPr>
          <w:rFonts w:asciiTheme="majorBidi" w:hAnsiTheme="majorBidi" w:cstheme="majorBidi"/>
          <w:lang w:val="en-GB"/>
        </w:rPr>
        <w:t xml:space="preserve"> on the</w:t>
      </w:r>
      <w:r w:rsidRPr="001005A8">
        <w:rPr>
          <w:rFonts w:asciiTheme="majorBidi" w:hAnsiTheme="majorBidi" w:cstheme="majorBidi"/>
          <w:lang w:val="en-GB"/>
        </w:rPr>
        <w:t xml:space="preserve"> strengthened implementation of effective results-based management, </w:t>
      </w:r>
      <w:r w:rsidR="00413941" w:rsidRPr="001005A8">
        <w:rPr>
          <w:rFonts w:asciiTheme="majorBidi" w:hAnsiTheme="majorBidi" w:cstheme="majorBidi"/>
          <w:lang w:val="en-GB"/>
        </w:rPr>
        <w:t>m</w:t>
      </w:r>
      <w:r w:rsidRPr="001005A8">
        <w:rPr>
          <w:rFonts w:asciiTheme="majorBidi" w:hAnsiTheme="majorBidi" w:cstheme="majorBidi"/>
          <w:lang w:val="en-GB"/>
        </w:rPr>
        <w:t xml:space="preserve">onitoring and </w:t>
      </w:r>
      <w:r w:rsidR="00413941" w:rsidRPr="001005A8">
        <w:rPr>
          <w:rFonts w:asciiTheme="majorBidi" w:hAnsiTheme="majorBidi" w:cstheme="majorBidi"/>
          <w:lang w:val="en-GB"/>
        </w:rPr>
        <w:t>e</w:t>
      </w:r>
      <w:r w:rsidRPr="001005A8">
        <w:rPr>
          <w:rFonts w:asciiTheme="majorBidi" w:hAnsiTheme="majorBidi" w:cstheme="majorBidi"/>
          <w:lang w:val="en-GB"/>
        </w:rPr>
        <w:t xml:space="preserve">valuation systems that inform decision-making, enhance effectiveness and ensure sustainable results. </w:t>
      </w:r>
    </w:p>
    <w:p w14:paraId="0819C5FC" w14:textId="77777777" w:rsidR="00974AA7" w:rsidRPr="001005A8" w:rsidRDefault="00974AA7" w:rsidP="00974AA7">
      <w:pPr>
        <w:ind w:left="993" w:right="713"/>
        <w:jc w:val="both"/>
        <w:rPr>
          <w:rFonts w:asciiTheme="majorBidi" w:hAnsiTheme="majorBidi" w:cstheme="majorBidi"/>
          <w:lang w:val="en-GB"/>
        </w:rPr>
      </w:pPr>
    </w:p>
    <w:p w14:paraId="5FCCF91C" w14:textId="136D423A"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Evaluations at programme and project levels will be executed as </w:t>
      </w:r>
      <w:r w:rsidR="00413941" w:rsidRPr="001005A8">
        <w:rPr>
          <w:rFonts w:asciiTheme="majorBidi" w:hAnsiTheme="majorBidi" w:cstheme="majorBidi"/>
          <w:lang w:val="en-GB"/>
        </w:rPr>
        <w:t xml:space="preserve">outlined </w:t>
      </w:r>
      <w:r w:rsidRPr="001005A8">
        <w:rPr>
          <w:rFonts w:asciiTheme="majorBidi" w:hAnsiTheme="majorBidi" w:cstheme="majorBidi"/>
          <w:lang w:val="en-GB"/>
        </w:rPr>
        <w:t xml:space="preserve">in the monitoring and evaluation plan for learning, knowledge management, adaptive programming, quality assurance and as agreed with development partners. The evaluation plan covers all four outcomes, as well as projects </w:t>
      </w:r>
      <w:r w:rsidR="00413941" w:rsidRPr="001005A8">
        <w:rPr>
          <w:rFonts w:asciiTheme="majorBidi" w:hAnsiTheme="majorBidi" w:cstheme="majorBidi"/>
          <w:lang w:val="en-GB"/>
        </w:rPr>
        <w:t xml:space="preserve">that meet </w:t>
      </w:r>
      <w:r w:rsidRPr="001005A8">
        <w:rPr>
          <w:rFonts w:asciiTheme="majorBidi" w:hAnsiTheme="majorBidi" w:cstheme="majorBidi"/>
          <w:lang w:val="en-GB"/>
        </w:rPr>
        <w:t xml:space="preserve">corporate evaluation requirements. The evaluation plan will be reviewed </w:t>
      </w:r>
      <w:r w:rsidR="0005413B" w:rsidRPr="001005A8">
        <w:rPr>
          <w:rFonts w:asciiTheme="majorBidi" w:hAnsiTheme="majorBidi" w:cstheme="majorBidi"/>
          <w:lang w:val="en-GB"/>
        </w:rPr>
        <w:t>annually,</w:t>
      </w:r>
      <w:r w:rsidRPr="001005A8">
        <w:rPr>
          <w:rFonts w:asciiTheme="majorBidi" w:hAnsiTheme="majorBidi" w:cstheme="majorBidi"/>
          <w:lang w:val="en-GB"/>
        </w:rPr>
        <w:t xml:space="preserve"> and evaluations of new projects will be considered as needed. Project quality assessments, including the adoption of a gender marker and a commitment of at least fifteen per cent of programme resources to GEWE, improving gender-based planning and decision-making will continue to be undertaken using corporate quality programming standards. </w:t>
      </w:r>
    </w:p>
    <w:p w14:paraId="557D9996" w14:textId="77777777" w:rsidR="00974AA7" w:rsidRPr="001005A8" w:rsidRDefault="00974AA7" w:rsidP="00974AA7">
      <w:pPr>
        <w:pStyle w:val="ListParagraph"/>
        <w:ind w:left="993" w:right="713"/>
        <w:rPr>
          <w:rFonts w:asciiTheme="majorBidi" w:hAnsiTheme="majorBidi" w:cstheme="majorBidi"/>
          <w:lang w:val="en-GB"/>
        </w:rPr>
      </w:pPr>
    </w:p>
    <w:p w14:paraId="4E79F758" w14:textId="1A323601"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UNDP will strengthen the technical capacities of the INE on </w:t>
      </w:r>
      <w:r w:rsidR="0005413B" w:rsidRPr="001005A8">
        <w:rPr>
          <w:rFonts w:asciiTheme="majorBidi" w:hAnsiTheme="majorBidi" w:cstheme="majorBidi"/>
          <w:lang w:val="en-GB"/>
        </w:rPr>
        <w:t xml:space="preserve">the </w:t>
      </w:r>
      <w:r w:rsidRPr="001005A8">
        <w:rPr>
          <w:rFonts w:asciiTheme="majorBidi" w:hAnsiTheme="majorBidi" w:cstheme="majorBidi"/>
          <w:lang w:val="en-GB"/>
        </w:rPr>
        <w:t xml:space="preserve">quality </w:t>
      </w:r>
      <w:r w:rsidR="0005413B" w:rsidRPr="001005A8">
        <w:rPr>
          <w:rFonts w:asciiTheme="majorBidi" w:hAnsiTheme="majorBidi" w:cstheme="majorBidi"/>
          <w:lang w:val="en-GB"/>
        </w:rPr>
        <w:t xml:space="preserve">of </w:t>
      </w:r>
      <w:r w:rsidRPr="001005A8">
        <w:rPr>
          <w:rFonts w:asciiTheme="majorBidi" w:hAnsiTheme="majorBidi" w:cstheme="majorBidi"/>
          <w:lang w:val="en-GB"/>
        </w:rPr>
        <w:t xml:space="preserve">disaggregated data collection, mining and analysis for the Sustainable Development Goals, including multidimensional poverty, gender equality and informality. Evaluations will support the identification of potential data gaps, notably in the health sector, for enhanced quality programming, tracking progress on results, managing change through oversight bodies and informing successor programming. Recommendations will be used for designing new initiatives, updating ongoing activities and incorporating lessons learned. </w:t>
      </w:r>
    </w:p>
    <w:p w14:paraId="3812BB5E" w14:textId="77777777" w:rsidR="00974AA7" w:rsidRPr="001005A8" w:rsidRDefault="00974AA7" w:rsidP="00974AA7">
      <w:pPr>
        <w:pStyle w:val="ListParagraph"/>
        <w:ind w:left="993" w:right="713"/>
        <w:rPr>
          <w:rFonts w:asciiTheme="majorBidi" w:hAnsiTheme="majorBidi" w:cstheme="majorBidi"/>
          <w:lang w:val="en-GB"/>
        </w:rPr>
      </w:pPr>
    </w:p>
    <w:p w14:paraId="41AADB2B" w14:textId="6ED510DA" w:rsidR="00974AA7" w:rsidRPr="001005A8" w:rsidRDefault="00974AA7" w:rsidP="0004265D">
      <w:pPr>
        <w:pStyle w:val="ListParagraph"/>
        <w:numPr>
          <w:ilvl w:val="0"/>
          <w:numId w:val="1"/>
        </w:numPr>
        <w:ind w:left="993" w:right="713" w:firstLine="0"/>
        <w:jc w:val="both"/>
        <w:rPr>
          <w:rFonts w:asciiTheme="majorBidi" w:hAnsiTheme="majorBidi" w:cstheme="majorBidi"/>
          <w:lang w:val="en-GB"/>
        </w:rPr>
      </w:pPr>
      <w:r w:rsidRPr="001005A8">
        <w:rPr>
          <w:rFonts w:asciiTheme="majorBidi" w:hAnsiTheme="majorBidi" w:cstheme="majorBidi"/>
          <w:lang w:val="en-GB"/>
        </w:rPr>
        <w:t xml:space="preserve">UNDP will work with partners to strengthen capacities for research and analysis, including through innovative and digital tools. UNDP will allocate at least five per cent of resources to improving oversight and quality assurance, digitalization, monitoring and evaluation, capacity </w:t>
      </w:r>
      <w:r w:rsidRPr="001005A8">
        <w:rPr>
          <w:rFonts w:asciiTheme="majorBidi" w:hAnsiTheme="majorBidi" w:cstheme="majorBidi"/>
          <w:lang w:val="en-GB"/>
        </w:rPr>
        <w:lastRenderedPageBreak/>
        <w:t xml:space="preserve">strengthening of staff, implementing partners and </w:t>
      </w:r>
      <w:r w:rsidR="0005413B" w:rsidRPr="001005A8">
        <w:rPr>
          <w:rFonts w:asciiTheme="majorBidi" w:hAnsiTheme="majorBidi" w:cstheme="majorBidi"/>
          <w:lang w:val="en-GB"/>
        </w:rPr>
        <w:t>g</w:t>
      </w:r>
      <w:r w:rsidRPr="001005A8">
        <w:rPr>
          <w:rFonts w:asciiTheme="majorBidi" w:hAnsiTheme="majorBidi" w:cstheme="majorBidi"/>
          <w:lang w:val="en-GB"/>
        </w:rPr>
        <w:t>overnment. UNDP will enhance policy advice and advocacy through a systematic approach to knowledge management, involving communities, target groups and partners in monitoring and learning processes. UNDP will promote digital platforms with INE to strengthen transparency and monitoring of the Sustainable Development Goals.</w:t>
      </w:r>
    </w:p>
    <w:p w14:paraId="52A6C82D" w14:textId="77777777" w:rsidR="00974AA7" w:rsidRPr="001005A8" w:rsidRDefault="00974AA7" w:rsidP="00974AA7">
      <w:pPr>
        <w:pStyle w:val="ListParagraph"/>
        <w:ind w:left="993" w:right="713"/>
        <w:rPr>
          <w:rFonts w:asciiTheme="majorBidi" w:hAnsiTheme="majorBidi" w:cstheme="majorBidi"/>
          <w:lang w:val="en-GB"/>
        </w:rPr>
      </w:pPr>
    </w:p>
    <w:p w14:paraId="778EC804" w14:textId="252FDA23" w:rsidR="00214EC6" w:rsidRPr="001005A8" w:rsidRDefault="00974AA7" w:rsidP="0004265D">
      <w:pPr>
        <w:pStyle w:val="ListParagraph"/>
        <w:numPr>
          <w:ilvl w:val="0"/>
          <w:numId w:val="1"/>
        </w:numPr>
        <w:tabs>
          <w:tab w:val="left" w:pos="1260"/>
        </w:tabs>
        <w:spacing w:after="120" w:line="240" w:lineRule="exact"/>
        <w:ind w:left="993" w:right="713" w:firstLine="0"/>
        <w:jc w:val="both"/>
        <w:rPr>
          <w:lang w:val="en-GB"/>
        </w:rPr>
      </w:pPr>
      <w:r w:rsidRPr="001005A8">
        <w:rPr>
          <w:rFonts w:asciiTheme="majorBidi" w:hAnsiTheme="majorBidi" w:cstheme="majorBidi"/>
          <w:lang w:val="en-GB"/>
        </w:rPr>
        <w:t xml:space="preserve">UNDP will use several communications strategies and tools to provide information not only about results but to </w:t>
      </w:r>
      <w:r w:rsidR="0005413B" w:rsidRPr="001005A8">
        <w:rPr>
          <w:rFonts w:asciiTheme="majorBidi" w:hAnsiTheme="majorBidi" w:cstheme="majorBidi"/>
          <w:lang w:val="en-GB"/>
        </w:rPr>
        <w:t xml:space="preserve">also </w:t>
      </w:r>
      <w:r w:rsidRPr="001005A8">
        <w:rPr>
          <w:rFonts w:asciiTheme="majorBidi" w:hAnsiTheme="majorBidi" w:cstheme="majorBidi"/>
          <w:lang w:val="en-GB"/>
        </w:rPr>
        <w:t xml:space="preserve">augment advocacy efforts around key development issues. </w:t>
      </w:r>
      <w:r w:rsidR="0005413B" w:rsidRPr="001005A8">
        <w:rPr>
          <w:rFonts w:asciiTheme="majorBidi" w:hAnsiTheme="majorBidi" w:cstheme="majorBidi"/>
          <w:lang w:val="en-GB"/>
        </w:rPr>
        <w:t>As such, UNDP</w:t>
      </w:r>
      <w:r w:rsidRPr="001005A8">
        <w:rPr>
          <w:rFonts w:asciiTheme="majorBidi" w:hAnsiTheme="majorBidi" w:cstheme="majorBidi"/>
          <w:lang w:val="en-GB"/>
        </w:rPr>
        <w:t xml:space="preserve"> will develop an associated 2024-2028 Partnership and Communication Actions Plan (PCAP) to guide strategic partnerships and communication. Traditional and social media platforms will be used to tailor communication to specific audiences</w:t>
      </w:r>
      <w:r w:rsidR="0005413B" w:rsidRPr="001005A8">
        <w:rPr>
          <w:rFonts w:asciiTheme="majorBidi" w:hAnsiTheme="majorBidi" w:cstheme="majorBidi"/>
          <w:lang w:val="en-GB"/>
        </w:rPr>
        <w:t xml:space="preserve"> with</w:t>
      </w:r>
      <w:r w:rsidRPr="001005A8">
        <w:rPr>
          <w:rFonts w:asciiTheme="majorBidi" w:hAnsiTheme="majorBidi" w:cstheme="majorBidi"/>
          <w:lang w:val="en-GB"/>
        </w:rPr>
        <w:t xml:space="preserve"> costs covered by programme and project budgets.</w:t>
      </w:r>
    </w:p>
    <w:p w14:paraId="43991A74" w14:textId="77777777" w:rsidR="00BC261E" w:rsidRPr="001005A8" w:rsidRDefault="00BC261E" w:rsidP="00BC261E">
      <w:pPr>
        <w:pStyle w:val="ListParagraph"/>
        <w:tabs>
          <w:tab w:val="left" w:pos="1260"/>
        </w:tabs>
        <w:spacing w:after="120" w:line="240" w:lineRule="exact"/>
        <w:ind w:left="900" w:right="720"/>
        <w:jc w:val="both"/>
        <w:rPr>
          <w:lang w:val="en-GB"/>
        </w:rPr>
      </w:pPr>
    </w:p>
    <w:p w14:paraId="2440D43E" w14:textId="33E3D240" w:rsidR="00214EC6" w:rsidRPr="001005A8" w:rsidRDefault="00214EC6" w:rsidP="0004265D">
      <w:pPr>
        <w:pStyle w:val="ListParagraph"/>
        <w:numPr>
          <w:ilvl w:val="2"/>
          <w:numId w:val="2"/>
        </w:numPr>
        <w:spacing w:after="120"/>
        <w:ind w:left="284" w:hanging="284"/>
        <w:jc w:val="both"/>
        <w:rPr>
          <w:lang w:val="en-GB"/>
        </w:rPr>
        <w:sectPr w:rsidR="00214EC6" w:rsidRPr="001005A8" w:rsidSect="00585D54">
          <w:headerReference w:type="even" r:id="rId12"/>
          <w:headerReference w:type="default" r:id="rId13"/>
          <w:footerReference w:type="even" r:id="rId14"/>
          <w:footerReference w:type="default" r:id="rId15"/>
          <w:headerReference w:type="first" r:id="rId16"/>
          <w:pgSz w:w="12240" w:h="15840"/>
          <w:pgMar w:top="1152" w:right="1440" w:bottom="1152" w:left="1440" w:header="720" w:footer="720" w:gutter="0"/>
          <w:cols w:space="720"/>
          <w:titlePg/>
          <w:docGrid w:linePitch="272"/>
        </w:sectPr>
      </w:pPr>
    </w:p>
    <w:p w14:paraId="5D0C17DE" w14:textId="654907C4" w:rsidR="00357B24" w:rsidRPr="001005A8" w:rsidRDefault="00357B24" w:rsidP="00357B24">
      <w:pPr>
        <w:spacing w:after="120"/>
        <w:ind w:left="1151" w:right="1151" w:hanging="881"/>
        <w:rPr>
          <w:b/>
          <w:color w:val="000000"/>
          <w:lang w:val="en-GB"/>
        </w:rPr>
      </w:pPr>
      <w:r w:rsidRPr="001005A8">
        <w:rPr>
          <w:b/>
          <w:color w:val="000000"/>
          <w:sz w:val="24"/>
          <w:szCs w:val="24"/>
          <w:lang w:val="en-GB"/>
        </w:rPr>
        <w:lastRenderedPageBreak/>
        <w:t>Annex</w:t>
      </w:r>
      <w:r w:rsidR="00141DBD" w:rsidRPr="001005A8">
        <w:rPr>
          <w:b/>
          <w:color w:val="000000"/>
          <w:sz w:val="24"/>
          <w:szCs w:val="24"/>
          <w:lang w:val="en-GB"/>
        </w:rPr>
        <w:t xml:space="preserve"> -</w:t>
      </w:r>
      <w:r w:rsidRPr="001005A8">
        <w:rPr>
          <w:b/>
          <w:color w:val="000000"/>
          <w:sz w:val="24"/>
          <w:szCs w:val="24"/>
          <w:lang w:val="en-GB"/>
        </w:rPr>
        <w:t xml:space="preserve"> Results and resources framework for </w:t>
      </w:r>
      <w:r w:rsidR="00974AA7" w:rsidRPr="001005A8">
        <w:rPr>
          <w:b/>
          <w:sz w:val="24"/>
          <w:szCs w:val="24"/>
          <w:lang w:val="en-GB"/>
        </w:rPr>
        <w:t>Angola</w:t>
      </w:r>
      <w:r w:rsidRPr="001005A8">
        <w:rPr>
          <w:b/>
          <w:color w:val="000000"/>
          <w:sz w:val="24"/>
          <w:szCs w:val="24"/>
          <w:lang w:val="en-GB"/>
        </w:rPr>
        <w:t xml:space="preserve"> (202</w:t>
      </w:r>
      <w:r w:rsidR="00974AA7" w:rsidRPr="001005A8">
        <w:rPr>
          <w:b/>
          <w:color w:val="000000"/>
          <w:sz w:val="24"/>
          <w:szCs w:val="24"/>
          <w:lang w:val="en-GB"/>
        </w:rPr>
        <w:t>4</w:t>
      </w:r>
      <w:r w:rsidRPr="001005A8">
        <w:rPr>
          <w:b/>
          <w:color w:val="000000"/>
          <w:sz w:val="24"/>
          <w:szCs w:val="24"/>
          <w:lang w:val="en-GB"/>
        </w:rPr>
        <w:t>-202</w:t>
      </w:r>
      <w:r w:rsidR="00974AA7" w:rsidRPr="001005A8">
        <w:rPr>
          <w:b/>
          <w:color w:val="000000"/>
          <w:sz w:val="24"/>
          <w:szCs w:val="24"/>
          <w:lang w:val="en-GB"/>
        </w:rPr>
        <w:t>8</w:t>
      </w:r>
      <w:r w:rsidRPr="001005A8">
        <w:rPr>
          <w:b/>
          <w:color w:val="000000"/>
          <w:sz w:val="24"/>
          <w:szCs w:val="24"/>
          <w:lang w:val="en-GB"/>
        </w:rPr>
        <w:t>)</w:t>
      </w:r>
    </w:p>
    <w:tbl>
      <w:tblPr>
        <w:tblW w:w="13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785"/>
        <w:gridCol w:w="1791"/>
        <w:gridCol w:w="4779"/>
        <w:gridCol w:w="1980"/>
        <w:gridCol w:w="1760"/>
      </w:tblGrid>
      <w:tr w:rsidR="00974AA7" w:rsidRPr="001005A8" w14:paraId="415E3DAE" w14:textId="77777777" w:rsidTr="0064612E">
        <w:trPr>
          <w:trHeight w:val="24"/>
        </w:trPr>
        <w:tc>
          <w:tcPr>
            <w:tcW w:w="13095" w:type="dxa"/>
            <w:gridSpan w:val="5"/>
            <w:shd w:val="clear" w:color="auto" w:fill="DBE5F1" w:themeFill="accent1" w:themeFillTint="33"/>
            <w:tcMar>
              <w:top w:w="72" w:type="dxa"/>
              <w:left w:w="144" w:type="dxa"/>
              <w:bottom w:w="72" w:type="dxa"/>
              <w:right w:w="144" w:type="dxa"/>
            </w:tcMar>
          </w:tcPr>
          <w:p w14:paraId="152180FE" w14:textId="00A505FF" w:rsidR="00974AA7" w:rsidRPr="001005A8" w:rsidRDefault="00974AA7" w:rsidP="00422D51">
            <w:pPr>
              <w:rPr>
                <w:rFonts w:asciiTheme="majorBidi" w:hAnsiTheme="majorBidi" w:cstheme="majorBidi"/>
                <w:sz w:val="16"/>
                <w:szCs w:val="16"/>
                <w:lang w:val="en-GB"/>
              </w:rPr>
            </w:pPr>
            <w:r w:rsidRPr="001005A8">
              <w:rPr>
                <w:rFonts w:asciiTheme="majorBidi" w:hAnsiTheme="majorBidi" w:cstheme="majorBidi"/>
                <w:b/>
                <w:bCs/>
                <w:color w:val="000000" w:themeColor="text1"/>
                <w:sz w:val="16"/>
                <w:szCs w:val="16"/>
                <w:lang w:val="en-GB"/>
              </w:rPr>
              <w:t xml:space="preserve">NATIONAL PRIORITY OR GOAL: </w:t>
            </w:r>
            <w:r w:rsidRPr="001005A8">
              <w:rPr>
                <w:rFonts w:asciiTheme="majorBidi" w:hAnsiTheme="majorBidi" w:cstheme="majorBidi"/>
                <w:color w:val="000000" w:themeColor="text1"/>
                <w:sz w:val="16"/>
                <w:szCs w:val="16"/>
                <w:lang w:val="en-GB"/>
              </w:rPr>
              <w:t>National Development Plan (NDP) 2023-2027</w:t>
            </w:r>
            <w:r w:rsidR="004D21C9" w:rsidRPr="001005A8">
              <w:rPr>
                <w:rFonts w:asciiTheme="majorBidi" w:hAnsiTheme="majorBidi" w:cstheme="majorBidi"/>
                <w:color w:val="000000" w:themeColor="text1"/>
                <w:sz w:val="16"/>
                <w:szCs w:val="16"/>
                <w:lang w:val="en-GB"/>
              </w:rPr>
              <w:t xml:space="preserve"> |</w:t>
            </w:r>
            <w:r w:rsidRPr="001005A8">
              <w:rPr>
                <w:rFonts w:asciiTheme="majorBidi" w:hAnsiTheme="majorBidi" w:cstheme="majorBidi"/>
                <w:color w:val="000000" w:themeColor="text1"/>
                <w:sz w:val="16"/>
                <w:szCs w:val="16"/>
                <w:lang w:val="en-GB"/>
              </w:rPr>
              <w:t xml:space="preserve"> </w:t>
            </w:r>
            <w:r w:rsidR="004D21C9" w:rsidRPr="001005A8">
              <w:rPr>
                <w:rFonts w:asciiTheme="majorBidi" w:hAnsiTheme="majorBidi" w:cstheme="majorBidi"/>
                <w:color w:val="000000" w:themeColor="text1"/>
                <w:sz w:val="16"/>
                <w:szCs w:val="16"/>
                <w:lang w:val="en-GB"/>
              </w:rPr>
              <w:t>P</w:t>
            </w:r>
            <w:r w:rsidRPr="001005A8">
              <w:rPr>
                <w:rFonts w:asciiTheme="majorBidi" w:hAnsiTheme="majorBidi" w:cstheme="majorBidi"/>
                <w:color w:val="000000" w:themeColor="text1"/>
                <w:sz w:val="16"/>
                <w:szCs w:val="16"/>
                <w:lang w:val="en-GB"/>
              </w:rPr>
              <w:t>riority 2: Economic diversification</w:t>
            </w:r>
          </w:p>
        </w:tc>
      </w:tr>
      <w:tr w:rsidR="00974AA7" w:rsidRPr="001005A8" w14:paraId="28D4FD7B" w14:textId="77777777" w:rsidTr="0064612E">
        <w:trPr>
          <w:trHeight w:val="24"/>
        </w:trPr>
        <w:tc>
          <w:tcPr>
            <w:tcW w:w="13095" w:type="dxa"/>
            <w:gridSpan w:val="5"/>
            <w:shd w:val="clear" w:color="auto" w:fill="DBE5F1" w:themeFill="accent1" w:themeFillTint="33"/>
            <w:tcMar>
              <w:top w:w="72" w:type="dxa"/>
              <w:left w:w="144" w:type="dxa"/>
              <w:bottom w:w="72" w:type="dxa"/>
              <w:right w:w="144" w:type="dxa"/>
            </w:tcMar>
          </w:tcPr>
          <w:p w14:paraId="577118E5" w14:textId="77777777"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color w:val="000000" w:themeColor="text1"/>
                <w:sz w:val="16"/>
                <w:szCs w:val="16"/>
                <w:lang w:val="en-GB"/>
              </w:rPr>
              <w:t>COOPERATION FRAMEWORK OUTCOME INVOLVING UNDP #1:</w:t>
            </w:r>
            <w:r w:rsidRPr="001005A8">
              <w:rPr>
                <w:lang w:val="en-GB"/>
              </w:rPr>
              <w:t xml:space="preserve"> </w:t>
            </w:r>
            <w:r w:rsidRPr="001005A8">
              <w:rPr>
                <w:rFonts w:asciiTheme="majorBidi" w:hAnsiTheme="majorBidi" w:cstheme="majorBidi"/>
                <w:sz w:val="16"/>
                <w:szCs w:val="16"/>
                <w:lang w:val="en-GB"/>
              </w:rPr>
              <w:t>Outcome 3: By 2028, more people, especially women, youth and the most vulnerable, participate in and benefit from more inclusive, diversified and sustainable economic growth.</w:t>
            </w:r>
          </w:p>
        </w:tc>
      </w:tr>
      <w:tr w:rsidR="00974AA7" w:rsidRPr="001005A8" w14:paraId="2AA7B990" w14:textId="77777777" w:rsidTr="00422D51">
        <w:trPr>
          <w:trHeight w:val="24"/>
        </w:trPr>
        <w:tc>
          <w:tcPr>
            <w:tcW w:w="13095" w:type="dxa"/>
            <w:gridSpan w:val="5"/>
            <w:shd w:val="clear" w:color="auto" w:fill="DBE5F1" w:themeFill="accent1" w:themeFillTint="33"/>
            <w:tcMar>
              <w:top w:w="72" w:type="dxa"/>
              <w:left w:w="144" w:type="dxa"/>
              <w:bottom w:w="72" w:type="dxa"/>
              <w:right w:w="144" w:type="dxa"/>
            </w:tcMar>
          </w:tcPr>
          <w:p w14:paraId="0E0D2DEE" w14:textId="77777777" w:rsidR="00974AA7" w:rsidRPr="001005A8" w:rsidRDefault="00974AA7" w:rsidP="00422D51">
            <w:pPr>
              <w:jc w:val="both"/>
              <w:rPr>
                <w:rFonts w:asciiTheme="majorBidi" w:hAnsiTheme="majorBidi" w:cstheme="majorBidi"/>
                <w:b/>
                <w:bCs/>
                <w:color w:val="000000" w:themeColor="text1"/>
                <w:sz w:val="16"/>
                <w:szCs w:val="16"/>
                <w:lang w:val="en-GB"/>
              </w:rPr>
            </w:pPr>
            <w:r w:rsidRPr="001005A8">
              <w:rPr>
                <w:rFonts w:asciiTheme="majorBidi" w:hAnsiTheme="majorBidi" w:cstheme="majorBidi"/>
                <w:b/>
                <w:bCs/>
                <w:color w:val="000000" w:themeColor="text1"/>
                <w:sz w:val="16"/>
                <w:szCs w:val="16"/>
                <w:lang w:val="en-GB"/>
              </w:rPr>
              <w:t xml:space="preserve">RELATED STRATEGIC PLAN OUTCOME: </w:t>
            </w:r>
            <w:r w:rsidRPr="001005A8">
              <w:rPr>
                <w:rFonts w:asciiTheme="majorBidi" w:hAnsiTheme="majorBidi" w:cstheme="majorBidi"/>
                <w:sz w:val="16"/>
                <w:szCs w:val="16"/>
                <w:lang w:val="en-GB"/>
              </w:rPr>
              <w:t>Outcome 1. Structural transformation accelerated, particularly green, inclusive and digital transitions.</w:t>
            </w:r>
          </w:p>
        </w:tc>
      </w:tr>
      <w:tr w:rsidR="00974AA7" w:rsidRPr="001005A8" w14:paraId="7DFE1C80" w14:textId="77777777" w:rsidTr="0064612E">
        <w:trPr>
          <w:trHeight w:val="322"/>
        </w:trPr>
        <w:tc>
          <w:tcPr>
            <w:tcW w:w="2785" w:type="dxa"/>
            <w:shd w:val="clear" w:color="auto" w:fill="DBE5F1" w:themeFill="accent1" w:themeFillTint="33"/>
            <w:tcMar>
              <w:top w:w="72" w:type="dxa"/>
              <w:left w:w="144" w:type="dxa"/>
              <w:bottom w:w="72" w:type="dxa"/>
              <w:right w:w="144" w:type="dxa"/>
            </w:tcMar>
            <w:vAlign w:val="center"/>
          </w:tcPr>
          <w:p w14:paraId="7F868254" w14:textId="77777777" w:rsidR="00974AA7" w:rsidRPr="001005A8" w:rsidRDefault="00974AA7" w:rsidP="00422D51">
            <w:pPr>
              <w:jc w:val="center"/>
              <w:rPr>
                <w:rFonts w:asciiTheme="majorBidi" w:hAnsiTheme="majorBidi" w:cstheme="majorBidi"/>
                <w:color w:val="000000"/>
                <w:sz w:val="16"/>
                <w:szCs w:val="16"/>
                <w:lang w:val="en-GB"/>
              </w:rPr>
            </w:pPr>
            <w:r w:rsidRPr="001005A8">
              <w:rPr>
                <w:rFonts w:asciiTheme="majorBidi" w:hAnsiTheme="majorBidi" w:cstheme="majorBidi"/>
                <w:b/>
                <w:bCs/>
                <w:color w:val="000000"/>
                <w:sz w:val="16"/>
                <w:szCs w:val="16"/>
                <w:lang w:val="en-GB"/>
              </w:rPr>
              <w:t>SCF OUTCOME INDICATOR(S), BASELINES, TARGET(S)</w:t>
            </w:r>
          </w:p>
        </w:tc>
        <w:tc>
          <w:tcPr>
            <w:tcW w:w="1791" w:type="dxa"/>
            <w:shd w:val="clear" w:color="auto" w:fill="DBE5F1" w:themeFill="accent1" w:themeFillTint="33"/>
            <w:vAlign w:val="center"/>
          </w:tcPr>
          <w:p w14:paraId="6642D97C" w14:textId="77777777" w:rsidR="00974AA7" w:rsidRPr="001005A8" w:rsidRDefault="00974AA7" w:rsidP="00422D51">
            <w:pPr>
              <w:jc w:val="center"/>
              <w:rPr>
                <w:rFonts w:asciiTheme="majorBidi" w:hAnsiTheme="majorBidi" w:cstheme="majorBidi"/>
                <w:b/>
                <w:color w:val="000000"/>
                <w:sz w:val="16"/>
                <w:szCs w:val="16"/>
                <w:lang w:val="en-GB"/>
              </w:rPr>
            </w:pPr>
            <w:r w:rsidRPr="001005A8">
              <w:rPr>
                <w:rFonts w:asciiTheme="majorBidi" w:hAnsiTheme="majorBidi" w:cstheme="majorBidi"/>
                <w:b/>
                <w:color w:val="000000"/>
                <w:sz w:val="16"/>
                <w:szCs w:val="16"/>
                <w:lang w:val="en-GB"/>
              </w:rPr>
              <w:t>DATA SOURCE, FREQUENCY &amp; RESPONSIBILITIES</w:t>
            </w:r>
          </w:p>
        </w:tc>
        <w:tc>
          <w:tcPr>
            <w:tcW w:w="4779" w:type="dxa"/>
            <w:shd w:val="clear" w:color="auto" w:fill="DBE5F1" w:themeFill="accent1" w:themeFillTint="33"/>
            <w:tcMar>
              <w:top w:w="72" w:type="dxa"/>
              <w:left w:w="144" w:type="dxa"/>
              <w:bottom w:w="72" w:type="dxa"/>
              <w:right w:w="144" w:type="dxa"/>
            </w:tcMar>
            <w:vAlign w:val="center"/>
          </w:tcPr>
          <w:p w14:paraId="2D9E4563" w14:textId="77777777" w:rsidR="00974AA7" w:rsidRPr="001005A8" w:rsidRDefault="00974AA7" w:rsidP="00422D51">
            <w:pPr>
              <w:jc w:val="center"/>
              <w:rPr>
                <w:rFonts w:asciiTheme="majorBidi" w:hAnsiTheme="majorBidi" w:cstheme="majorBidi"/>
                <w:b/>
                <w:bCs/>
                <w:color w:val="000000"/>
                <w:sz w:val="16"/>
                <w:szCs w:val="16"/>
                <w:lang w:val="en-GB"/>
              </w:rPr>
            </w:pPr>
            <w:r w:rsidRPr="001005A8">
              <w:rPr>
                <w:rFonts w:asciiTheme="majorBidi" w:hAnsiTheme="majorBidi" w:cstheme="majorBidi"/>
                <w:b/>
                <w:bCs/>
                <w:color w:val="000000" w:themeColor="text1"/>
                <w:sz w:val="16"/>
                <w:szCs w:val="16"/>
                <w:lang w:val="en-GB"/>
              </w:rPr>
              <w:t>INDICATIVE</w:t>
            </w:r>
          </w:p>
          <w:p w14:paraId="2BD8AA8D" w14:textId="77777777" w:rsidR="00974AA7" w:rsidRPr="001005A8" w:rsidRDefault="00974AA7" w:rsidP="00422D51">
            <w:pPr>
              <w:jc w:val="center"/>
              <w:rPr>
                <w:rFonts w:asciiTheme="majorBidi" w:hAnsiTheme="majorBidi" w:cstheme="majorBidi"/>
                <w:b/>
                <w:bCs/>
                <w:color w:val="000000"/>
                <w:sz w:val="16"/>
                <w:szCs w:val="16"/>
                <w:lang w:val="en-GB"/>
              </w:rPr>
            </w:pPr>
            <w:r w:rsidRPr="001005A8">
              <w:rPr>
                <w:rFonts w:asciiTheme="majorBidi" w:hAnsiTheme="majorBidi" w:cstheme="majorBidi"/>
                <w:b/>
                <w:bCs/>
                <w:color w:val="000000"/>
                <w:sz w:val="16"/>
                <w:szCs w:val="16"/>
                <w:lang w:val="en-GB"/>
              </w:rPr>
              <w:t xml:space="preserve">COUNTRY PROGRAMME OUTPUTS </w:t>
            </w:r>
          </w:p>
          <w:p w14:paraId="3213B6EB" w14:textId="77777777" w:rsidR="00974AA7" w:rsidRPr="001005A8" w:rsidRDefault="00974AA7" w:rsidP="00422D51">
            <w:pPr>
              <w:jc w:val="center"/>
              <w:rPr>
                <w:rFonts w:asciiTheme="majorBidi" w:hAnsiTheme="majorBidi" w:cstheme="majorBidi"/>
                <w:color w:val="000000"/>
                <w:sz w:val="16"/>
                <w:szCs w:val="16"/>
                <w:lang w:val="en-GB"/>
              </w:rPr>
            </w:pPr>
          </w:p>
        </w:tc>
        <w:tc>
          <w:tcPr>
            <w:tcW w:w="1980" w:type="dxa"/>
            <w:shd w:val="clear" w:color="auto" w:fill="DBE5F1" w:themeFill="accent1" w:themeFillTint="33"/>
            <w:vAlign w:val="center"/>
          </w:tcPr>
          <w:p w14:paraId="395D2B17" w14:textId="77777777" w:rsidR="00974AA7" w:rsidRPr="001005A8" w:rsidRDefault="00974AA7" w:rsidP="00422D51">
            <w:pPr>
              <w:jc w:val="center"/>
              <w:rPr>
                <w:rFonts w:asciiTheme="majorBidi" w:hAnsiTheme="majorBidi" w:cstheme="majorBidi"/>
                <w:b/>
                <w:bCs/>
                <w:color w:val="000000"/>
                <w:sz w:val="16"/>
                <w:szCs w:val="16"/>
                <w:lang w:val="en-GB"/>
              </w:rPr>
            </w:pPr>
            <w:r w:rsidRPr="001005A8">
              <w:rPr>
                <w:rFonts w:asciiTheme="majorBidi" w:hAnsiTheme="majorBidi" w:cstheme="majorBidi"/>
                <w:b/>
                <w:bCs/>
                <w:color w:val="000000"/>
                <w:sz w:val="16"/>
                <w:szCs w:val="16"/>
                <w:lang w:val="en-GB"/>
              </w:rPr>
              <w:t>MAJOR PARTNERS / PARTNERSHIPS</w:t>
            </w:r>
          </w:p>
          <w:p w14:paraId="464AE367" w14:textId="77777777" w:rsidR="00974AA7" w:rsidRPr="001005A8" w:rsidRDefault="00974AA7" w:rsidP="00422D51">
            <w:pPr>
              <w:jc w:val="center"/>
              <w:rPr>
                <w:rFonts w:asciiTheme="majorBidi" w:hAnsiTheme="majorBidi" w:cstheme="majorBidi"/>
                <w:b/>
                <w:bCs/>
                <w:color w:val="000000"/>
                <w:sz w:val="16"/>
                <w:szCs w:val="16"/>
                <w:lang w:val="en-GB"/>
              </w:rPr>
            </w:pPr>
            <w:r w:rsidRPr="001005A8">
              <w:rPr>
                <w:rFonts w:asciiTheme="majorBidi" w:hAnsiTheme="majorBidi" w:cstheme="majorBidi"/>
                <w:b/>
                <w:bCs/>
                <w:color w:val="000000"/>
                <w:sz w:val="16"/>
                <w:szCs w:val="16"/>
                <w:lang w:val="en-GB"/>
              </w:rPr>
              <w:t>FRAMEWORKS</w:t>
            </w:r>
          </w:p>
        </w:tc>
        <w:tc>
          <w:tcPr>
            <w:tcW w:w="1760" w:type="dxa"/>
            <w:shd w:val="clear" w:color="auto" w:fill="DBE5F1" w:themeFill="accent1" w:themeFillTint="33"/>
            <w:tcMar>
              <w:top w:w="15" w:type="dxa"/>
              <w:left w:w="108" w:type="dxa"/>
              <w:bottom w:w="0" w:type="dxa"/>
              <w:right w:w="108" w:type="dxa"/>
            </w:tcMar>
            <w:vAlign w:val="center"/>
          </w:tcPr>
          <w:p w14:paraId="4202BC49" w14:textId="1339BBEF" w:rsidR="00974AA7" w:rsidRPr="001005A8" w:rsidRDefault="00974AA7" w:rsidP="00422D51">
            <w:pPr>
              <w:jc w:val="center"/>
              <w:rPr>
                <w:rFonts w:asciiTheme="majorBidi" w:hAnsiTheme="majorBidi" w:cstheme="majorBidi"/>
                <w:i/>
                <w:color w:val="0000FF"/>
                <w:sz w:val="16"/>
                <w:szCs w:val="16"/>
                <w:lang w:val="en-GB"/>
              </w:rPr>
            </w:pPr>
            <w:r w:rsidRPr="001005A8">
              <w:rPr>
                <w:rFonts w:asciiTheme="majorBidi" w:hAnsiTheme="majorBidi" w:cstheme="majorBidi"/>
                <w:b/>
                <w:bCs/>
                <w:color w:val="000000"/>
                <w:sz w:val="16"/>
                <w:szCs w:val="16"/>
                <w:lang w:val="en-GB"/>
              </w:rPr>
              <w:t>ESTIMATED COST BY OUTCOME (thousands</w:t>
            </w:r>
            <w:r w:rsidR="001B3FAF" w:rsidRPr="001005A8">
              <w:rPr>
                <w:rFonts w:asciiTheme="majorBidi" w:hAnsiTheme="majorBidi" w:cstheme="majorBidi"/>
                <w:b/>
                <w:bCs/>
                <w:color w:val="000000"/>
                <w:sz w:val="16"/>
                <w:szCs w:val="16"/>
                <w:lang w:val="en-GB"/>
              </w:rPr>
              <w:t xml:space="preserve"> of United States dollars</w:t>
            </w:r>
            <w:r w:rsidRPr="001005A8">
              <w:rPr>
                <w:rFonts w:asciiTheme="majorBidi" w:hAnsiTheme="majorBidi" w:cstheme="majorBidi"/>
                <w:b/>
                <w:bCs/>
                <w:color w:val="000000"/>
                <w:sz w:val="16"/>
                <w:szCs w:val="16"/>
                <w:lang w:val="en-GB"/>
              </w:rPr>
              <w:t>)</w:t>
            </w:r>
          </w:p>
        </w:tc>
      </w:tr>
      <w:tr w:rsidR="00974AA7" w:rsidRPr="001005A8" w14:paraId="0EAA9E7F" w14:textId="77777777" w:rsidTr="005A2F47">
        <w:trPr>
          <w:trHeight w:val="2402"/>
        </w:trPr>
        <w:tc>
          <w:tcPr>
            <w:tcW w:w="2785" w:type="dxa"/>
            <w:shd w:val="clear" w:color="auto" w:fill="auto"/>
            <w:tcMar>
              <w:top w:w="72" w:type="dxa"/>
              <w:left w:w="144" w:type="dxa"/>
              <w:bottom w:w="72" w:type="dxa"/>
              <w:right w:w="144" w:type="dxa"/>
            </w:tcMar>
          </w:tcPr>
          <w:p w14:paraId="18984E7E" w14:textId="3101C42B"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Indicator 1.1</w:t>
            </w:r>
            <w:r w:rsidR="008B32E9" w:rsidRPr="001005A8">
              <w:rPr>
                <w:rFonts w:asciiTheme="majorBidi" w:hAnsiTheme="majorBidi" w:cstheme="majorBidi"/>
                <w:sz w:val="16"/>
                <w:szCs w:val="16"/>
                <w:lang w:val="en-GB"/>
              </w:rPr>
              <w:t>.</w:t>
            </w:r>
            <w:r w:rsidRPr="001005A8">
              <w:rPr>
                <w:rFonts w:asciiTheme="majorBidi" w:hAnsiTheme="majorBidi" w:cstheme="majorBidi"/>
                <w:sz w:val="16"/>
                <w:szCs w:val="16"/>
                <w:lang w:val="en-GB"/>
              </w:rPr>
              <w:t xml:space="preserve"> Proportion of informal employment in total employment, by sector and sex.</w:t>
            </w:r>
          </w:p>
          <w:p w14:paraId="2607F225" w14:textId="19DF5871"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Baseline (2022):</w:t>
            </w:r>
            <w:r w:rsidRPr="001005A8">
              <w:rPr>
                <w:rFonts w:asciiTheme="majorBidi" w:hAnsiTheme="majorBidi" w:cstheme="majorBidi"/>
                <w:sz w:val="16"/>
                <w:szCs w:val="16"/>
                <w:lang w:val="en-GB"/>
              </w:rPr>
              <w:t xml:space="preserve"> 80.5</w:t>
            </w:r>
            <w:r w:rsidR="008B32E9" w:rsidRPr="001005A8">
              <w:rPr>
                <w:rFonts w:asciiTheme="majorBidi" w:hAnsiTheme="majorBidi" w:cstheme="majorBidi"/>
                <w:sz w:val="16"/>
                <w:szCs w:val="16"/>
                <w:lang w:val="en-GB"/>
              </w:rPr>
              <w:t xml:space="preserve">% </w:t>
            </w:r>
            <w:r w:rsidRPr="001005A8">
              <w:rPr>
                <w:rFonts w:asciiTheme="majorBidi" w:hAnsiTheme="majorBidi" w:cstheme="majorBidi"/>
                <w:sz w:val="16"/>
                <w:szCs w:val="16"/>
                <w:lang w:val="en-GB"/>
              </w:rPr>
              <w:t>(87.9</w:t>
            </w:r>
            <w:r w:rsidR="008B32E9" w:rsidRPr="001005A8">
              <w:rPr>
                <w:rFonts w:asciiTheme="majorBidi" w:hAnsiTheme="majorBidi" w:cstheme="majorBidi"/>
                <w:sz w:val="16"/>
                <w:szCs w:val="16"/>
                <w:lang w:val="en-GB"/>
              </w:rPr>
              <w:t xml:space="preserve">% </w:t>
            </w:r>
            <w:r w:rsidRPr="001005A8">
              <w:rPr>
                <w:rFonts w:asciiTheme="majorBidi" w:hAnsiTheme="majorBidi" w:cstheme="majorBidi"/>
                <w:sz w:val="16"/>
                <w:szCs w:val="16"/>
                <w:lang w:val="en-GB"/>
              </w:rPr>
              <w:t>for females, 72.3</w:t>
            </w:r>
            <w:r w:rsidR="008B32E9" w:rsidRPr="001005A8">
              <w:rPr>
                <w:rFonts w:asciiTheme="majorBidi" w:hAnsiTheme="majorBidi" w:cstheme="majorBidi"/>
                <w:sz w:val="16"/>
                <w:szCs w:val="16"/>
                <w:lang w:val="en-GB"/>
              </w:rPr>
              <w:t xml:space="preserve">% </w:t>
            </w:r>
            <w:r w:rsidRPr="001005A8">
              <w:rPr>
                <w:rFonts w:asciiTheme="majorBidi" w:hAnsiTheme="majorBidi" w:cstheme="majorBidi"/>
                <w:sz w:val="16"/>
                <w:szCs w:val="16"/>
                <w:lang w:val="en-GB"/>
              </w:rPr>
              <w:t>for males, 95.2</w:t>
            </w:r>
            <w:r w:rsidR="008B32E9" w:rsidRPr="001005A8">
              <w:rPr>
                <w:rFonts w:asciiTheme="majorBidi" w:hAnsiTheme="majorBidi" w:cstheme="majorBidi"/>
                <w:sz w:val="16"/>
                <w:szCs w:val="16"/>
                <w:lang w:val="en-GB"/>
              </w:rPr>
              <w:t>%</w:t>
            </w:r>
            <w:r w:rsidRPr="001005A8">
              <w:rPr>
                <w:rFonts w:asciiTheme="majorBidi" w:hAnsiTheme="majorBidi" w:cstheme="majorBidi"/>
                <w:sz w:val="16"/>
                <w:szCs w:val="16"/>
                <w:lang w:val="en-GB"/>
              </w:rPr>
              <w:t xml:space="preserve"> for young females, and 91.3</w:t>
            </w:r>
            <w:r w:rsidR="008B32E9" w:rsidRPr="001005A8">
              <w:rPr>
                <w:rFonts w:asciiTheme="majorBidi" w:hAnsiTheme="majorBidi" w:cstheme="majorBidi"/>
                <w:sz w:val="16"/>
                <w:szCs w:val="16"/>
                <w:lang w:val="en-GB"/>
              </w:rPr>
              <w:t>%</w:t>
            </w:r>
            <w:r w:rsidRPr="001005A8">
              <w:rPr>
                <w:rFonts w:asciiTheme="majorBidi" w:hAnsiTheme="majorBidi" w:cstheme="majorBidi"/>
                <w:sz w:val="16"/>
                <w:szCs w:val="16"/>
                <w:lang w:val="en-GB"/>
              </w:rPr>
              <w:t xml:space="preserve"> for young males; 68.3% in urban areas; 96.2% in rural areas)</w:t>
            </w:r>
          </w:p>
          <w:p w14:paraId="19E13C07" w14:textId="686AF21C"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Target (2028)</w:t>
            </w:r>
            <w:r w:rsidRPr="001005A8">
              <w:rPr>
                <w:rFonts w:asciiTheme="majorBidi" w:hAnsiTheme="majorBidi" w:cstheme="majorBidi"/>
                <w:sz w:val="16"/>
                <w:szCs w:val="16"/>
                <w:lang w:val="en-GB"/>
              </w:rPr>
              <w:t>: 76.0</w:t>
            </w:r>
            <w:r w:rsidR="008B32E9" w:rsidRPr="001005A8">
              <w:rPr>
                <w:rFonts w:asciiTheme="majorBidi" w:hAnsiTheme="majorBidi" w:cstheme="majorBidi"/>
                <w:sz w:val="16"/>
                <w:szCs w:val="16"/>
                <w:lang w:val="en-GB"/>
              </w:rPr>
              <w:t>%</w:t>
            </w:r>
            <w:r w:rsidRPr="001005A8">
              <w:rPr>
                <w:rFonts w:asciiTheme="majorBidi" w:hAnsiTheme="majorBidi" w:cstheme="majorBidi"/>
                <w:sz w:val="16"/>
                <w:szCs w:val="16"/>
                <w:lang w:val="en-GB"/>
              </w:rPr>
              <w:t xml:space="preserve"> (national)</w:t>
            </w:r>
          </w:p>
          <w:p w14:paraId="70C89010" w14:textId="77777777" w:rsidR="00974AA7" w:rsidRPr="001005A8" w:rsidRDefault="00974AA7" w:rsidP="00422D51">
            <w:pPr>
              <w:jc w:val="both"/>
              <w:rPr>
                <w:rFonts w:asciiTheme="majorBidi" w:hAnsiTheme="majorBidi" w:cstheme="majorBidi"/>
                <w:sz w:val="16"/>
                <w:szCs w:val="16"/>
                <w:lang w:val="en-GB"/>
              </w:rPr>
            </w:pPr>
          </w:p>
          <w:p w14:paraId="594BA681" w14:textId="77777777" w:rsidR="00974AA7" w:rsidRPr="001005A8" w:rsidRDefault="00974AA7" w:rsidP="00422D51">
            <w:pPr>
              <w:jc w:val="both"/>
              <w:rPr>
                <w:rFonts w:asciiTheme="majorBidi" w:hAnsiTheme="majorBidi" w:cstheme="majorBidi"/>
                <w:sz w:val="16"/>
                <w:szCs w:val="16"/>
                <w:lang w:val="en-GB"/>
              </w:rPr>
            </w:pPr>
          </w:p>
          <w:p w14:paraId="1651C635" w14:textId="77777777" w:rsidR="00974AA7" w:rsidRPr="001005A8" w:rsidRDefault="00974AA7" w:rsidP="00422D51">
            <w:pPr>
              <w:jc w:val="both"/>
              <w:rPr>
                <w:rFonts w:asciiTheme="majorBidi" w:hAnsiTheme="majorBidi" w:cstheme="majorBidi"/>
                <w:sz w:val="16"/>
                <w:szCs w:val="16"/>
                <w:lang w:val="en-GB"/>
              </w:rPr>
            </w:pPr>
          </w:p>
          <w:p w14:paraId="5A2DAD67" w14:textId="77777777" w:rsidR="00974AA7" w:rsidRPr="001005A8" w:rsidRDefault="00974AA7" w:rsidP="00422D51">
            <w:pPr>
              <w:jc w:val="both"/>
              <w:rPr>
                <w:rFonts w:asciiTheme="majorBidi" w:hAnsiTheme="majorBidi" w:cstheme="majorBidi"/>
                <w:sz w:val="16"/>
                <w:szCs w:val="16"/>
                <w:lang w:val="en-GB"/>
              </w:rPr>
            </w:pPr>
          </w:p>
          <w:p w14:paraId="25623391" w14:textId="624508DC" w:rsidR="00974AA7" w:rsidRPr="001005A8" w:rsidRDefault="00974AA7" w:rsidP="00422D51">
            <w:pPr>
              <w:jc w:val="both"/>
              <w:rPr>
                <w:rFonts w:asciiTheme="majorBidi" w:hAnsiTheme="majorBidi" w:cstheme="majorBidi"/>
                <w:lang w:val="en-GB"/>
              </w:rPr>
            </w:pPr>
            <w:r w:rsidRPr="001005A8">
              <w:rPr>
                <w:rFonts w:asciiTheme="majorBidi" w:hAnsiTheme="majorBidi" w:cstheme="majorBidi"/>
                <w:b/>
                <w:bCs/>
                <w:sz w:val="16"/>
                <w:szCs w:val="16"/>
                <w:lang w:val="en-GB"/>
              </w:rPr>
              <w:t>Indicator 1.2</w:t>
            </w:r>
            <w:r w:rsidR="008B32E9" w:rsidRPr="001005A8">
              <w:rPr>
                <w:rFonts w:asciiTheme="majorBidi" w:hAnsiTheme="majorBidi" w:cstheme="majorBidi"/>
                <w:sz w:val="16"/>
                <w:szCs w:val="16"/>
                <w:lang w:val="en-GB"/>
              </w:rPr>
              <w:t>.</w:t>
            </w:r>
            <w:r w:rsidRPr="001005A8">
              <w:rPr>
                <w:rFonts w:asciiTheme="majorBidi" w:hAnsiTheme="majorBidi" w:cstheme="majorBidi"/>
                <w:sz w:val="16"/>
                <w:szCs w:val="16"/>
                <w:lang w:val="en-GB"/>
              </w:rPr>
              <w:t xml:space="preserve"> Proportion of adults (15 years and older) with an account at a bank or other financial institution or with a mobile-money-service provider.</w:t>
            </w:r>
          </w:p>
          <w:p w14:paraId="436111C6" w14:textId="47CDD4D6"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Baseline (2015)</w:t>
            </w:r>
            <w:r w:rsidRPr="001005A8">
              <w:rPr>
                <w:rFonts w:asciiTheme="majorBidi" w:hAnsiTheme="majorBidi" w:cstheme="majorBidi"/>
                <w:sz w:val="16"/>
                <w:szCs w:val="16"/>
                <w:lang w:val="en-GB"/>
              </w:rPr>
              <w:t>: 40</w:t>
            </w:r>
            <w:r w:rsidR="008B32E9" w:rsidRPr="001005A8">
              <w:rPr>
                <w:rFonts w:asciiTheme="majorBidi" w:hAnsiTheme="majorBidi" w:cstheme="majorBidi"/>
                <w:sz w:val="16"/>
                <w:szCs w:val="16"/>
                <w:lang w:val="en-GB"/>
              </w:rPr>
              <w:t>%</w:t>
            </w:r>
          </w:p>
          <w:p w14:paraId="7DF3B96F" w14:textId="077C1914"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Target (2028)</w:t>
            </w:r>
            <w:r w:rsidRPr="001005A8">
              <w:rPr>
                <w:rFonts w:asciiTheme="majorBidi" w:hAnsiTheme="majorBidi" w:cstheme="majorBidi"/>
                <w:sz w:val="16"/>
                <w:szCs w:val="16"/>
                <w:lang w:val="en-GB"/>
              </w:rPr>
              <w:t>: 44</w:t>
            </w:r>
            <w:r w:rsidR="008B32E9" w:rsidRPr="001005A8">
              <w:rPr>
                <w:rFonts w:asciiTheme="majorBidi" w:hAnsiTheme="majorBidi" w:cstheme="majorBidi"/>
                <w:sz w:val="16"/>
                <w:szCs w:val="16"/>
                <w:lang w:val="en-GB"/>
              </w:rPr>
              <w:t>%</w:t>
            </w:r>
            <w:r w:rsidRPr="001005A8">
              <w:rPr>
                <w:rFonts w:asciiTheme="majorBidi" w:hAnsiTheme="majorBidi" w:cstheme="majorBidi"/>
                <w:sz w:val="16"/>
                <w:szCs w:val="16"/>
                <w:lang w:val="en-GB"/>
              </w:rPr>
              <w:t xml:space="preserve"> </w:t>
            </w:r>
          </w:p>
          <w:p w14:paraId="0A1DD5BB" w14:textId="77777777" w:rsidR="00974AA7" w:rsidRPr="001005A8" w:rsidRDefault="00974AA7" w:rsidP="00422D51">
            <w:pPr>
              <w:jc w:val="center"/>
              <w:rPr>
                <w:rFonts w:asciiTheme="majorBidi" w:hAnsiTheme="majorBidi" w:cstheme="majorBidi"/>
                <w:b/>
                <w:bCs/>
                <w:color w:val="000000"/>
                <w:sz w:val="16"/>
                <w:szCs w:val="16"/>
                <w:lang w:val="en-GB"/>
              </w:rPr>
            </w:pPr>
          </w:p>
        </w:tc>
        <w:tc>
          <w:tcPr>
            <w:tcW w:w="1791" w:type="dxa"/>
            <w:shd w:val="clear" w:color="auto" w:fill="auto"/>
          </w:tcPr>
          <w:p w14:paraId="359D2AE5" w14:textId="176E93D3" w:rsidR="00974AA7" w:rsidRPr="001005A8" w:rsidRDefault="00974AA7" w:rsidP="00422D51">
            <w:pPr>
              <w:jc w:val="both"/>
              <w:rPr>
                <w:rFonts w:asciiTheme="majorBidi" w:hAnsiTheme="majorBidi" w:cstheme="majorBidi"/>
                <w:b/>
                <w:bCs/>
                <w:sz w:val="16"/>
                <w:szCs w:val="16"/>
                <w:lang w:val="en-GB"/>
              </w:rPr>
            </w:pPr>
            <w:r w:rsidRPr="001005A8">
              <w:rPr>
                <w:rFonts w:asciiTheme="majorBidi" w:hAnsiTheme="majorBidi" w:cstheme="majorBidi"/>
                <w:b/>
                <w:bCs/>
                <w:sz w:val="16"/>
                <w:szCs w:val="16"/>
                <w:lang w:val="en-GB"/>
              </w:rPr>
              <w:t>Source</w:t>
            </w:r>
            <w:r w:rsidRPr="001005A8">
              <w:rPr>
                <w:rFonts w:asciiTheme="majorBidi" w:hAnsiTheme="majorBidi" w:cstheme="majorBidi"/>
                <w:sz w:val="16"/>
                <w:szCs w:val="16"/>
                <w:lang w:val="en-GB"/>
              </w:rPr>
              <w:t>: Ministry of Economy and Planning (MEP)</w:t>
            </w:r>
          </w:p>
          <w:p w14:paraId="6983635D" w14:textId="77777777"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Frequency</w:t>
            </w:r>
            <w:r w:rsidRPr="001005A8">
              <w:rPr>
                <w:rFonts w:asciiTheme="majorBidi" w:hAnsiTheme="majorBidi" w:cstheme="majorBidi"/>
                <w:sz w:val="16"/>
                <w:szCs w:val="16"/>
                <w:lang w:val="en-GB"/>
              </w:rPr>
              <w:t>: Annual</w:t>
            </w:r>
          </w:p>
          <w:p w14:paraId="7087CE42" w14:textId="77777777"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Responsible</w:t>
            </w:r>
            <w:r w:rsidRPr="001005A8">
              <w:rPr>
                <w:rFonts w:asciiTheme="majorBidi" w:hAnsiTheme="majorBidi" w:cstheme="majorBidi"/>
                <w:sz w:val="16"/>
                <w:szCs w:val="16"/>
                <w:lang w:val="en-GB"/>
              </w:rPr>
              <w:t>: UNDP</w:t>
            </w:r>
          </w:p>
          <w:p w14:paraId="2500B443" w14:textId="77777777" w:rsidR="00974AA7" w:rsidRPr="001005A8" w:rsidRDefault="00974AA7" w:rsidP="00422D51">
            <w:pPr>
              <w:jc w:val="both"/>
              <w:rPr>
                <w:rFonts w:asciiTheme="majorBidi" w:hAnsiTheme="majorBidi" w:cstheme="majorBidi"/>
                <w:sz w:val="16"/>
                <w:szCs w:val="16"/>
                <w:lang w:val="en-GB"/>
              </w:rPr>
            </w:pPr>
          </w:p>
          <w:p w14:paraId="2710329A" w14:textId="77777777" w:rsidR="00974AA7" w:rsidRPr="001005A8" w:rsidRDefault="00974AA7" w:rsidP="00422D51">
            <w:pPr>
              <w:jc w:val="both"/>
              <w:rPr>
                <w:rFonts w:asciiTheme="majorBidi" w:hAnsiTheme="majorBidi" w:cstheme="majorBidi"/>
                <w:sz w:val="16"/>
                <w:szCs w:val="16"/>
                <w:lang w:val="en-GB"/>
              </w:rPr>
            </w:pPr>
          </w:p>
          <w:p w14:paraId="337203A1" w14:textId="77777777" w:rsidR="00974AA7" w:rsidRPr="001005A8" w:rsidRDefault="00974AA7" w:rsidP="00422D51">
            <w:pPr>
              <w:jc w:val="both"/>
              <w:rPr>
                <w:rFonts w:asciiTheme="majorBidi" w:hAnsiTheme="majorBidi" w:cstheme="majorBidi"/>
                <w:sz w:val="16"/>
                <w:szCs w:val="16"/>
                <w:lang w:val="en-GB"/>
              </w:rPr>
            </w:pPr>
          </w:p>
          <w:p w14:paraId="38020E7B" w14:textId="77777777" w:rsidR="00974AA7" w:rsidRPr="001005A8" w:rsidRDefault="00974AA7" w:rsidP="00422D51">
            <w:pPr>
              <w:jc w:val="both"/>
              <w:rPr>
                <w:rFonts w:asciiTheme="majorBidi" w:hAnsiTheme="majorBidi" w:cstheme="majorBidi"/>
                <w:sz w:val="16"/>
                <w:szCs w:val="16"/>
                <w:lang w:val="en-GB"/>
              </w:rPr>
            </w:pPr>
          </w:p>
          <w:p w14:paraId="2E518A17" w14:textId="77777777" w:rsidR="00AA2A34" w:rsidRPr="001005A8" w:rsidRDefault="00AA2A34" w:rsidP="00422D51">
            <w:pPr>
              <w:jc w:val="both"/>
              <w:rPr>
                <w:rFonts w:asciiTheme="majorBidi" w:hAnsiTheme="majorBidi" w:cstheme="majorBidi"/>
                <w:sz w:val="16"/>
                <w:szCs w:val="16"/>
                <w:lang w:val="en-GB"/>
              </w:rPr>
            </w:pPr>
          </w:p>
          <w:p w14:paraId="295E8F81" w14:textId="77777777" w:rsidR="00AA2A34" w:rsidRPr="001005A8" w:rsidRDefault="00AA2A34" w:rsidP="00422D51">
            <w:pPr>
              <w:jc w:val="both"/>
              <w:rPr>
                <w:rFonts w:asciiTheme="majorBidi" w:hAnsiTheme="majorBidi" w:cstheme="majorBidi"/>
                <w:sz w:val="16"/>
                <w:szCs w:val="16"/>
                <w:lang w:val="en-GB"/>
              </w:rPr>
            </w:pPr>
          </w:p>
          <w:p w14:paraId="41F25A1A" w14:textId="77777777" w:rsidR="00974AA7" w:rsidRPr="001005A8" w:rsidRDefault="00974AA7" w:rsidP="00422D51">
            <w:pPr>
              <w:jc w:val="both"/>
              <w:rPr>
                <w:rFonts w:asciiTheme="majorBidi" w:hAnsiTheme="majorBidi" w:cstheme="majorBidi"/>
                <w:sz w:val="16"/>
                <w:szCs w:val="16"/>
                <w:lang w:val="en-GB"/>
              </w:rPr>
            </w:pPr>
          </w:p>
          <w:p w14:paraId="097773FC" w14:textId="77777777" w:rsidR="00974AA7" w:rsidRPr="001005A8" w:rsidRDefault="00974AA7" w:rsidP="00422D51">
            <w:pPr>
              <w:jc w:val="both"/>
              <w:rPr>
                <w:rFonts w:asciiTheme="majorBidi" w:hAnsiTheme="majorBidi" w:cstheme="majorBidi"/>
                <w:sz w:val="16"/>
                <w:szCs w:val="16"/>
                <w:lang w:val="en-GB"/>
              </w:rPr>
            </w:pPr>
          </w:p>
          <w:p w14:paraId="482B0029" w14:textId="77777777" w:rsidR="00974AA7" w:rsidRPr="001005A8" w:rsidRDefault="00974AA7" w:rsidP="00422D51">
            <w:pPr>
              <w:rPr>
                <w:rFonts w:asciiTheme="majorBidi" w:hAnsiTheme="majorBidi" w:cstheme="majorBidi"/>
                <w:sz w:val="16"/>
                <w:szCs w:val="16"/>
                <w:lang w:val="en-GB"/>
              </w:rPr>
            </w:pPr>
            <w:r w:rsidRPr="001005A8">
              <w:rPr>
                <w:rFonts w:asciiTheme="majorBidi" w:hAnsiTheme="majorBidi" w:cstheme="majorBidi"/>
                <w:b/>
                <w:bCs/>
                <w:sz w:val="16"/>
                <w:szCs w:val="16"/>
                <w:lang w:val="en-GB"/>
              </w:rPr>
              <w:t>Source</w:t>
            </w:r>
            <w:r w:rsidRPr="001005A8">
              <w:rPr>
                <w:rFonts w:asciiTheme="majorBidi" w:hAnsiTheme="majorBidi" w:cstheme="majorBidi"/>
                <w:sz w:val="16"/>
                <w:szCs w:val="16"/>
                <w:lang w:val="en-GB"/>
              </w:rPr>
              <w:t>: INAPEM, INEFOP</w:t>
            </w:r>
          </w:p>
          <w:p w14:paraId="34B1FA8A" w14:textId="77777777" w:rsidR="00974AA7" w:rsidRPr="001005A8" w:rsidRDefault="00974AA7" w:rsidP="00422D51">
            <w:pPr>
              <w:rPr>
                <w:rFonts w:asciiTheme="majorBidi" w:hAnsiTheme="majorBidi" w:cstheme="majorBidi"/>
                <w:sz w:val="16"/>
                <w:szCs w:val="16"/>
                <w:lang w:val="en-GB"/>
              </w:rPr>
            </w:pPr>
            <w:r w:rsidRPr="001005A8">
              <w:rPr>
                <w:rFonts w:asciiTheme="majorBidi" w:hAnsiTheme="majorBidi" w:cstheme="majorBidi"/>
                <w:b/>
                <w:bCs/>
                <w:sz w:val="16"/>
                <w:szCs w:val="16"/>
                <w:lang w:val="en-GB"/>
              </w:rPr>
              <w:t>Frequency</w:t>
            </w:r>
            <w:r w:rsidRPr="001005A8">
              <w:rPr>
                <w:rFonts w:asciiTheme="majorBidi" w:hAnsiTheme="majorBidi" w:cstheme="majorBidi"/>
                <w:sz w:val="16"/>
                <w:szCs w:val="16"/>
                <w:lang w:val="en-GB"/>
              </w:rPr>
              <w:t>: Annual</w:t>
            </w:r>
          </w:p>
          <w:p w14:paraId="2AE54B36" w14:textId="77777777"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Responsible</w:t>
            </w:r>
            <w:r w:rsidRPr="001005A8">
              <w:rPr>
                <w:rFonts w:asciiTheme="majorBidi" w:hAnsiTheme="majorBidi" w:cstheme="majorBidi"/>
                <w:sz w:val="16"/>
                <w:szCs w:val="16"/>
                <w:lang w:val="en-GB"/>
              </w:rPr>
              <w:t>: UNDP</w:t>
            </w:r>
          </w:p>
          <w:p w14:paraId="3983309B" w14:textId="77777777" w:rsidR="00974AA7" w:rsidRPr="001005A8" w:rsidRDefault="00974AA7" w:rsidP="00422D51">
            <w:pPr>
              <w:jc w:val="center"/>
              <w:rPr>
                <w:rFonts w:asciiTheme="majorBidi" w:hAnsiTheme="majorBidi" w:cstheme="majorBidi"/>
                <w:b/>
                <w:color w:val="000000"/>
                <w:sz w:val="16"/>
                <w:szCs w:val="16"/>
                <w:lang w:val="en-GB"/>
              </w:rPr>
            </w:pPr>
          </w:p>
        </w:tc>
        <w:tc>
          <w:tcPr>
            <w:tcW w:w="4779" w:type="dxa"/>
            <w:shd w:val="clear" w:color="auto" w:fill="auto"/>
            <w:tcMar>
              <w:top w:w="72" w:type="dxa"/>
              <w:left w:w="144" w:type="dxa"/>
              <w:bottom w:w="72" w:type="dxa"/>
              <w:right w:w="144" w:type="dxa"/>
            </w:tcMar>
            <w:vAlign w:val="center"/>
          </w:tcPr>
          <w:p w14:paraId="78EC89EA" w14:textId="0BF4566A" w:rsidR="00974AA7" w:rsidRPr="001005A8" w:rsidRDefault="00974AA7" w:rsidP="00422D51">
            <w:pPr>
              <w:jc w:val="both"/>
              <w:rPr>
                <w:rFonts w:asciiTheme="majorBidi" w:hAnsiTheme="majorBidi" w:cstheme="majorBidi"/>
                <w:b/>
                <w:bCs/>
                <w:sz w:val="16"/>
                <w:szCs w:val="16"/>
                <w:lang w:val="en-GB"/>
              </w:rPr>
            </w:pPr>
            <w:r w:rsidRPr="001005A8">
              <w:rPr>
                <w:rFonts w:asciiTheme="majorBidi" w:hAnsiTheme="majorBidi" w:cstheme="majorBidi"/>
                <w:b/>
                <w:bCs/>
                <w:sz w:val="16"/>
                <w:szCs w:val="16"/>
                <w:lang w:val="en-GB"/>
              </w:rPr>
              <w:t>Output 1.1. Inclusive and sustainable solutions adopted for enhanced employment opportunities and productivity of young and female informal workers and MSMEs.</w:t>
            </w:r>
          </w:p>
          <w:p w14:paraId="2573CD85" w14:textId="77777777" w:rsidR="00974AA7" w:rsidRPr="001005A8" w:rsidRDefault="00974AA7" w:rsidP="00422D51">
            <w:pPr>
              <w:jc w:val="both"/>
              <w:rPr>
                <w:rFonts w:asciiTheme="majorBidi" w:hAnsiTheme="majorBidi" w:cstheme="majorBidi"/>
                <w:b/>
                <w:bCs/>
                <w:color w:val="000000" w:themeColor="text1"/>
                <w:sz w:val="16"/>
                <w:szCs w:val="16"/>
                <w:lang w:val="en-GB"/>
              </w:rPr>
            </w:pPr>
          </w:p>
          <w:p w14:paraId="66A0365D" w14:textId="77777777" w:rsidR="00974AA7"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1.1.1.</w:t>
            </w:r>
            <w:r w:rsidRPr="001005A8">
              <w:rPr>
                <w:rFonts w:asciiTheme="majorBidi" w:hAnsiTheme="majorBidi" w:cstheme="majorBidi"/>
                <w:sz w:val="16"/>
                <w:szCs w:val="16"/>
                <w:lang w:val="en-GB"/>
              </w:rPr>
              <w:t xml:space="preserve"> Number of informal actors accessing inclusive and gender-responsive business development services.</w:t>
            </w:r>
          </w:p>
          <w:p w14:paraId="2B527FD4" w14:textId="1C81908E" w:rsidR="00974AA7"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Baseline (2022)</w:t>
            </w:r>
            <w:r w:rsidRPr="001005A8">
              <w:rPr>
                <w:rFonts w:asciiTheme="majorBidi" w:hAnsiTheme="majorBidi" w:cstheme="majorBidi"/>
                <w:color w:val="000000" w:themeColor="text1"/>
                <w:sz w:val="16"/>
                <w:szCs w:val="16"/>
                <w:lang w:val="en-GB"/>
              </w:rPr>
              <w:t xml:space="preserve">: 0; </w:t>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 xml:space="preserve"> 5,000 (2,500 young females, 500 adult females, 1,50</w:t>
            </w:r>
            <w:r w:rsidR="0064612E" w:rsidRPr="001005A8">
              <w:rPr>
                <w:rFonts w:asciiTheme="majorBidi" w:hAnsiTheme="majorBidi" w:cstheme="majorBidi"/>
                <w:color w:val="000000" w:themeColor="text1"/>
                <w:sz w:val="16"/>
                <w:szCs w:val="16"/>
                <w:lang w:val="en-GB"/>
              </w:rPr>
              <w:t>0</w:t>
            </w:r>
            <w:r w:rsidRPr="001005A8">
              <w:rPr>
                <w:rFonts w:asciiTheme="majorBidi" w:hAnsiTheme="majorBidi" w:cstheme="majorBidi"/>
                <w:color w:val="000000" w:themeColor="text1"/>
                <w:sz w:val="16"/>
                <w:szCs w:val="16"/>
                <w:lang w:val="en-GB"/>
              </w:rPr>
              <w:t xml:space="preserve"> young males, 450 adult males, 50 people with disabilities)</w:t>
            </w:r>
          </w:p>
          <w:p w14:paraId="48BC8DB4" w14:textId="77777777" w:rsidR="008B32E9"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Data Source</w:t>
            </w:r>
            <w:r w:rsidRPr="001005A8">
              <w:rPr>
                <w:rFonts w:asciiTheme="majorBidi" w:hAnsiTheme="majorBidi" w:cstheme="majorBidi"/>
                <w:color w:val="000000" w:themeColor="text1"/>
                <w:sz w:val="16"/>
                <w:szCs w:val="16"/>
                <w:lang w:val="en-GB"/>
              </w:rPr>
              <w:t>: BNA</w:t>
            </w:r>
          </w:p>
          <w:p w14:paraId="16FEAD07" w14:textId="28013FE0" w:rsidR="00974AA7"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Frequency</w:t>
            </w:r>
            <w:r w:rsidRPr="001005A8">
              <w:rPr>
                <w:rFonts w:asciiTheme="majorBidi" w:hAnsiTheme="majorBidi" w:cstheme="majorBidi"/>
                <w:color w:val="000000" w:themeColor="text1"/>
                <w:sz w:val="16"/>
                <w:szCs w:val="16"/>
                <w:lang w:val="en-GB"/>
              </w:rPr>
              <w:t>: Annual</w:t>
            </w:r>
          </w:p>
          <w:p w14:paraId="4340A42F" w14:textId="77777777" w:rsidR="00974AA7"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p>
          <w:p w14:paraId="21E77339" w14:textId="77777777" w:rsidR="00974AA7"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1.1.2.</w:t>
            </w:r>
            <w:r w:rsidRPr="001005A8">
              <w:rPr>
                <w:rFonts w:asciiTheme="majorBidi" w:hAnsiTheme="majorBidi" w:cstheme="majorBidi"/>
                <w:sz w:val="16"/>
                <w:szCs w:val="16"/>
                <w:lang w:val="en-GB"/>
              </w:rPr>
              <w:t xml:space="preserve"> Number of informal actors accessing inclusive and gender-responsive financial services.</w:t>
            </w:r>
          </w:p>
          <w:p w14:paraId="473C0482" w14:textId="77777777" w:rsidR="00974AA7"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Baseline (2022)</w:t>
            </w:r>
            <w:r w:rsidRPr="001005A8">
              <w:rPr>
                <w:rFonts w:asciiTheme="majorBidi" w:hAnsiTheme="majorBidi" w:cstheme="majorBidi"/>
                <w:color w:val="000000" w:themeColor="text1"/>
                <w:sz w:val="16"/>
                <w:szCs w:val="16"/>
                <w:lang w:val="en-GB"/>
              </w:rPr>
              <w:t xml:space="preserve">: 0; </w:t>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 xml:space="preserve"> 2,000 (700 young females, 500 adult females, 500 young males, 270 adult males, 30 people with disabilities)</w:t>
            </w:r>
          </w:p>
          <w:p w14:paraId="7D0BEE89" w14:textId="77777777" w:rsidR="008B32E9"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Data Source</w:t>
            </w:r>
            <w:r w:rsidRPr="001005A8">
              <w:rPr>
                <w:rFonts w:asciiTheme="majorBidi" w:hAnsiTheme="majorBidi" w:cstheme="majorBidi"/>
                <w:color w:val="000000" w:themeColor="text1"/>
                <w:sz w:val="16"/>
                <w:szCs w:val="16"/>
                <w:lang w:val="en-GB"/>
              </w:rPr>
              <w:t>: MEP, BNA</w:t>
            </w:r>
          </w:p>
          <w:p w14:paraId="6485CEE8" w14:textId="18E043F4" w:rsidR="00974AA7"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Frequency</w:t>
            </w:r>
            <w:r w:rsidRPr="001005A8">
              <w:rPr>
                <w:rFonts w:asciiTheme="majorBidi" w:hAnsiTheme="majorBidi" w:cstheme="majorBidi"/>
                <w:color w:val="000000" w:themeColor="text1"/>
                <w:sz w:val="16"/>
                <w:szCs w:val="16"/>
                <w:lang w:val="en-GB"/>
              </w:rPr>
              <w:t>: Annual</w:t>
            </w:r>
          </w:p>
          <w:p w14:paraId="7C5F98C2" w14:textId="77777777" w:rsidR="00974AA7"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p>
          <w:p w14:paraId="7A743BB1" w14:textId="77777777" w:rsidR="00974AA7" w:rsidRPr="001005A8" w:rsidRDefault="00974AA7" w:rsidP="00422D51">
            <w:pPr>
              <w:pStyle w:val="ListParagraph"/>
              <w:ind w:left="0"/>
              <w:jc w:val="both"/>
              <w:rPr>
                <w:rFonts w:asciiTheme="majorBidi" w:hAnsiTheme="majorBidi" w:cstheme="majorBidi"/>
                <w:color w:val="000000" w:themeColor="text1"/>
                <w:sz w:val="16"/>
                <w:szCs w:val="16"/>
                <w:highlight w:val="yellow"/>
                <w:lang w:val="en-GB"/>
              </w:rPr>
            </w:pPr>
            <w:r w:rsidRPr="001005A8">
              <w:rPr>
                <w:rFonts w:asciiTheme="majorBidi" w:hAnsiTheme="majorBidi" w:cstheme="majorBidi"/>
                <w:b/>
                <w:bCs/>
                <w:color w:val="000000" w:themeColor="text1"/>
                <w:sz w:val="16"/>
                <w:szCs w:val="16"/>
                <w:lang w:val="en-GB"/>
              </w:rPr>
              <w:t>1.1.3.</w:t>
            </w:r>
            <w:r w:rsidRPr="001005A8">
              <w:rPr>
                <w:rFonts w:asciiTheme="majorBidi" w:eastAsia="Calibri" w:hAnsiTheme="majorBidi" w:cstheme="majorBidi"/>
                <w:color w:val="FF0000"/>
                <w:sz w:val="16"/>
                <w:szCs w:val="16"/>
                <w:lang w:val="en-GB"/>
              </w:rPr>
              <w:t xml:space="preserve"> </w:t>
            </w:r>
            <w:r w:rsidRPr="001005A8">
              <w:rPr>
                <w:rFonts w:asciiTheme="majorBidi" w:hAnsiTheme="majorBidi" w:cstheme="majorBidi"/>
                <w:sz w:val="16"/>
                <w:szCs w:val="16"/>
                <w:lang w:val="en-GB"/>
              </w:rPr>
              <w:t>Number of informal actors accessing inclusive, digital and innovative services leading to skills upgrading.</w:t>
            </w:r>
          </w:p>
          <w:p w14:paraId="5822E0D2" w14:textId="77777777"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Baseline (2022)</w:t>
            </w:r>
            <w:r w:rsidRPr="001005A8">
              <w:rPr>
                <w:rFonts w:asciiTheme="majorBidi" w:hAnsiTheme="majorBidi" w:cstheme="majorBidi"/>
                <w:color w:val="000000" w:themeColor="text1"/>
                <w:sz w:val="16"/>
                <w:szCs w:val="16"/>
                <w:lang w:val="en-GB"/>
              </w:rPr>
              <w:t xml:space="preserve">: 0; </w:t>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 xml:space="preserve">: 15,000 (6,000 young females, 2,500 adult females, 4,000 young males, 2,450 adult males, 50 people with disabilities) </w:t>
            </w:r>
          </w:p>
          <w:p w14:paraId="1CF9DF94" w14:textId="77777777" w:rsidR="008B32E9"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Data Source</w:t>
            </w:r>
            <w:r w:rsidRPr="001005A8">
              <w:rPr>
                <w:rFonts w:asciiTheme="majorBidi" w:hAnsiTheme="majorBidi" w:cstheme="majorBidi"/>
                <w:color w:val="000000" w:themeColor="text1"/>
                <w:sz w:val="16"/>
                <w:szCs w:val="16"/>
                <w:lang w:val="en-GB"/>
              </w:rPr>
              <w:t>: MEP</w:t>
            </w:r>
          </w:p>
          <w:p w14:paraId="4D17CB4E" w14:textId="03913B26" w:rsidR="00974AA7"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Frequency</w:t>
            </w:r>
            <w:r w:rsidRPr="001005A8">
              <w:rPr>
                <w:rFonts w:asciiTheme="majorBidi" w:hAnsiTheme="majorBidi" w:cstheme="majorBidi"/>
                <w:color w:val="000000" w:themeColor="text1"/>
                <w:sz w:val="16"/>
                <w:szCs w:val="16"/>
                <w:lang w:val="en-GB"/>
              </w:rPr>
              <w:t>: Annual</w:t>
            </w:r>
          </w:p>
          <w:p w14:paraId="24DF4235" w14:textId="77777777" w:rsidR="00974AA7"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p>
          <w:p w14:paraId="30D57BAA" w14:textId="77777777" w:rsidR="0064612E" w:rsidRPr="001005A8" w:rsidRDefault="0064612E" w:rsidP="00422D51">
            <w:pPr>
              <w:pStyle w:val="ListParagraph"/>
              <w:spacing w:line="259" w:lineRule="auto"/>
              <w:ind w:left="0"/>
              <w:jc w:val="both"/>
              <w:rPr>
                <w:rFonts w:asciiTheme="majorBidi" w:hAnsiTheme="majorBidi" w:cstheme="majorBidi"/>
                <w:color w:val="000000" w:themeColor="text1"/>
                <w:sz w:val="16"/>
                <w:szCs w:val="16"/>
                <w:lang w:val="en-GB"/>
              </w:rPr>
            </w:pPr>
          </w:p>
          <w:p w14:paraId="5E30B763" w14:textId="77777777" w:rsidR="0064612E" w:rsidRPr="001005A8" w:rsidRDefault="0064612E" w:rsidP="00422D51">
            <w:pPr>
              <w:pStyle w:val="ListParagraph"/>
              <w:spacing w:line="259" w:lineRule="auto"/>
              <w:ind w:left="0"/>
              <w:jc w:val="both"/>
              <w:rPr>
                <w:rFonts w:asciiTheme="majorBidi" w:hAnsiTheme="majorBidi" w:cstheme="majorBidi"/>
                <w:color w:val="000000" w:themeColor="text1"/>
                <w:sz w:val="16"/>
                <w:szCs w:val="16"/>
                <w:lang w:val="en-GB"/>
              </w:rPr>
            </w:pPr>
          </w:p>
          <w:p w14:paraId="04A8D159" w14:textId="77777777" w:rsidR="0064612E" w:rsidRPr="001005A8" w:rsidRDefault="0064612E" w:rsidP="00422D51">
            <w:pPr>
              <w:pStyle w:val="ListParagraph"/>
              <w:spacing w:line="259" w:lineRule="auto"/>
              <w:ind w:left="0"/>
              <w:jc w:val="both"/>
              <w:rPr>
                <w:rFonts w:asciiTheme="majorBidi" w:hAnsiTheme="majorBidi" w:cstheme="majorBidi"/>
                <w:color w:val="000000" w:themeColor="text1"/>
                <w:sz w:val="16"/>
                <w:szCs w:val="16"/>
                <w:lang w:val="en-GB"/>
              </w:rPr>
            </w:pPr>
          </w:p>
          <w:p w14:paraId="1D0E56C4" w14:textId="77777777" w:rsidR="0064612E" w:rsidRPr="001005A8" w:rsidRDefault="0064612E" w:rsidP="00422D51">
            <w:pPr>
              <w:pStyle w:val="ListParagraph"/>
              <w:spacing w:line="259" w:lineRule="auto"/>
              <w:ind w:left="0"/>
              <w:jc w:val="both"/>
              <w:rPr>
                <w:rFonts w:asciiTheme="majorBidi" w:hAnsiTheme="majorBidi" w:cstheme="majorBidi"/>
                <w:color w:val="000000" w:themeColor="text1"/>
                <w:sz w:val="16"/>
                <w:szCs w:val="16"/>
                <w:lang w:val="en-GB"/>
              </w:rPr>
            </w:pPr>
          </w:p>
          <w:p w14:paraId="48568F52" w14:textId="77777777" w:rsidR="0064612E" w:rsidRPr="001005A8" w:rsidRDefault="0064612E" w:rsidP="00422D51">
            <w:pPr>
              <w:pStyle w:val="ListParagraph"/>
              <w:spacing w:line="259" w:lineRule="auto"/>
              <w:ind w:left="0"/>
              <w:jc w:val="both"/>
              <w:rPr>
                <w:rFonts w:asciiTheme="majorBidi" w:hAnsiTheme="majorBidi" w:cstheme="majorBidi"/>
                <w:color w:val="000000" w:themeColor="text1"/>
                <w:sz w:val="16"/>
                <w:szCs w:val="16"/>
                <w:lang w:val="en-GB"/>
              </w:rPr>
            </w:pPr>
          </w:p>
          <w:p w14:paraId="23FBC10D" w14:textId="77777777" w:rsidR="00974AA7" w:rsidRPr="001005A8" w:rsidRDefault="00974AA7" w:rsidP="00422D51">
            <w:pPr>
              <w:jc w:val="both"/>
              <w:rPr>
                <w:rFonts w:asciiTheme="majorBidi" w:hAnsiTheme="majorBidi" w:cstheme="majorBidi"/>
                <w:b/>
                <w:bCs/>
                <w:sz w:val="16"/>
                <w:szCs w:val="16"/>
                <w:lang w:val="en-GB"/>
              </w:rPr>
            </w:pPr>
            <w:r w:rsidRPr="001005A8">
              <w:rPr>
                <w:rFonts w:asciiTheme="majorBidi" w:hAnsiTheme="majorBidi" w:cstheme="majorBidi"/>
                <w:b/>
                <w:bCs/>
                <w:color w:val="000000" w:themeColor="text1"/>
                <w:sz w:val="16"/>
                <w:szCs w:val="16"/>
                <w:lang w:val="en-GB"/>
              </w:rPr>
              <w:lastRenderedPageBreak/>
              <w:t xml:space="preserve">Output 1.2. </w:t>
            </w:r>
            <w:r w:rsidRPr="001005A8">
              <w:rPr>
                <w:rFonts w:asciiTheme="majorBidi" w:hAnsiTheme="majorBidi" w:cstheme="majorBidi"/>
                <w:b/>
                <w:bCs/>
                <w:sz w:val="16"/>
                <w:szCs w:val="16"/>
                <w:lang w:val="en-GB"/>
              </w:rPr>
              <w:t>Institutional and technical capacities and skills strengthened for sustainable and resilient agricultural value chains.</w:t>
            </w:r>
          </w:p>
          <w:p w14:paraId="0C29C261" w14:textId="77777777" w:rsidR="00974AA7" w:rsidRPr="001005A8" w:rsidRDefault="00974AA7" w:rsidP="00422D51">
            <w:pPr>
              <w:jc w:val="both"/>
              <w:rPr>
                <w:rFonts w:asciiTheme="majorBidi" w:hAnsiTheme="majorBidi" w:cstheme="majorBidi"/>
                <w:sz w:val="16"/>
                <w:szCs w:val="16"/>
                <w:lang w:val="en-GB"/>
              </w:rPr>
            </w:pPr>
          </w:p>
          <w:p w14:paraId="3912AE9F" w14:textId="77777777" w:rsidR="00974AA7" w:rsidRPr="001005A8" w:rsidRDefault="00974AA7" w:rsidP="00422D51">
            <w:pPr>
              <w:pStyle w:val="ListParagraph"/>
              <w:ind w:left="0"/>
              <w:jc w:val="both"/>
              <w:rPr>
                <w:rFonts w:asciiTheme="majorBidi" w:hAnsiTheme="majorBidi" w:cstheme="majorBidi"/>
                <w:sz w:val="16"/>
                <w:szCs w:val="16"/>
                <w:lang w:val="en-GB"/>
              </w:rPr>
            </w:pPr>
            <w:r w:rsidRPr="001005A8">
              <w:rPr>
                <w:rFonts w:asciiTheme="majorBidi" w:hAnsiTheme="majorBidi" w:cstheme="majorBidi"/>
                <w:b/>
                <w:bCs/>
                <w:color w:val="000000" w:themeColor="text1"/>
                <w:sz w:val="16"/>
                <w:szCs w:val="16"/>
                <w:lang w:val="en-GB"/>
              </w:rPr>
              <w:t>1.2.1.</w:t>
            </w:r>
            <w:r w:rsidRPr="001005A8">
              <w:rPr>
                <w:rFonts w:asciiTheme="majorBidi" w:hAnsiTheme="majorBidi" w:cstheme="majorBidi"/>
                <w:sz w:val="16"/>
                <w:szCs w:val="16"/>
                <w:lang w:val="en-GB"/>
              </w:rPr>
              <w:t xml:space="preserve"> Number of MSMEs that joined upgraded, inclusive and resilient agribusiness value chains.</w:t>
            </w:r>
          </w:p>
          <w:p w14:paraId="1CC1EA1F" w14:textId="77777777"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Baseline (2022)</w:t>
            </w:r>
            <w:r w:rsidRPr="001005A8">
              <w:rPr>
                <w:rFonts w:asciiTheme="majorBidi" w:hAnsiTheme="majorBidi" w:cstheme="majorBidi"/>
                <w:color w:val="000000" w:themeColor="text1"/>
                <w:sz w:val="16"/>
                <w:szCs w:val="16"/>
                <w:lang w:val="en-GB"/>
              </w:rPr>
              <w:t xml:space="preserve">: 0; </w:t>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 5,000 (2,500 young female-led, 500 adult female-led, 1,500 young male-led, 500 adult male-led)</w:t>
            </w:r>
          </w:p>
          <w:p w14:paraId="6FAD86AE" w14:textId="77777777" w:rsidR="008B32E9"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Data Source:</w:t>
            </w:r>
            <w:r w:rsidRPr="001005A8">
              <w:rPr>
                <w:rFonts w:asciiTheme="majorBidi" w:hAnsiTheme="majorBidi" w:cstheme="majorBidi"/>
                <w:color w:val="000000" w:themeColor="text1"/>
                <w:sz w:val="16"/>
                <w:szCs w:val="16"/>
                <w:lang w:val="en-GB"/>
              </w:rPr>
              <w:t xml:space="preserve"> MEP, INAPEM</w:t>
            </w:r>
          </w:p>
          <w:p w14:paraId="563F715D" w14:textId="0BE76A96"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Frequency</w:t>
            </w:r>
            <w:r w:rsidRPr="001005A8">
              <w:rPr>
                <w:rFonts w:asciiTheme="majorBidi" w:hAnsiTheme="majorBidi" w:cstheme="majorBidi"/>
                <w:color w:val="000000" w:themeColor="text1"/>
                <w:sz w:val="16"/>
                <w:szCs w:val="16"/>
                <w:lang w:val="en-GB"/>
              </w:rPr>
              <w:t>: Annual</w:t>
            </w:r>
          </w:p>
          <w:p w14:paraId="4EA43F40" w14:textId="77777777" w:rsidR="00974AA7" w:rsidRPr="001005A8" w:rsidRDefault="00974AA7" w:rsidP="00422D51">
            <w:pPr>
              <w:pStyle w:val="ListParagraph"/>
              <w:ind w:left="0"/>
              <w:jc w:val="both"/>
              <w:rPr>
                <w:rFonts w:asciiTheme="majorBidi" w:hAnsiTheme="majorBidi" w:cstheme="majorBidi"/>
                <w:sz w:val="16"/>
                <w:szCs w:val="16"/>
                <w:lang w:val="en-GB"/>
              </w:rPr>
            </w:pPr>
            <w:r w:rsidRPr="001005A8">
              <w:rPr>
                <w:rFonts w:asciiTheme="majorBidi" w:hAnsiTheme="majorBidi" w:cstheme="majorBidi"/>
                <w:b/>
                <w:bCs/>
                <w:color w:val="000000" w:themeColor="text1"/>
                <w:sz w:val="16"/>
                <w:szCs w:val="16"/>
                <w:lang w:val="en-GB"/>
              </w:rPr>
              <w:t>1.2.2.</w:t>
            </w:r>
            <w:r w:rsidRPr="001005A8">
              <w:rPr>
                <w:rFonts w:asciiTheme="majorBidi" w:eastAsia="Calibri" w:hAnsiTheme="majorBidi" w:cstheme="majorBidi"/>
                <w:sz w:val="16"/>
                <w:szCs w:val="16"/>
                <w:lang w:val="en-GB"/>
              </w:rPr>
              <w:t xml:space="preserve"> </w:t>
            </w:r>
            <w:r w:rsidRPr="001005A8">
              <w:rPr>
                <w:rFonts w:asciiTheme="majorBidi" w:hAnsiTheme="majorBidi" w:cstheme="majorBidi"/>
                <w:sz w:val="16"/>
                <w:szCs w:val="16"/>
                <w:lang w:val="en-GB"/>
              </w:rPr>
              <w:t>Number of MSMEs adopting upgraded and innovative skills that promote a more resilient and climate-smart agriculture.</w:t>
            </w:r>
          </w:p>
          <w:p w14:paraId="0E1B4688" w14:textId="77777777"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Baseline (2022)</w:t>
            </w:r>
            <w:r w:rsidRPr="001005A8">
              <w:rPr>
                <w:rFonts w:asciiTheme="majorBidi" w:hAnsiTheme="majorBidi" w:cstheme="majorBidi"/>
                <w:color w:val="000000" w:themeColor="text1"/>
                <w:sz w:val="16"/>
                <w:szCs w:val="16"/>
                <w:lang w:val="en-GB"/>
              </w:rPr>
              <w:t xml:space="preserve">: 0; </w:t>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 18,000 (8,000 young female-led, 2,000 adult female-led, 6,000 young male-led, 2,000 adult male-led)</w:t>
            </w:r>
          </w:p>
          <w:p w14:paraId="359D5BF8" w14:textId="77777777" w:rsidR="008B32E9"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Data Source</w:t>
            </w:r>
            <w:r w:rsidRPr="001005A8">
              <w:rPr>
                <w:rFonts w:asciiTheme="majorBidi" w:hAnsiTheme="majorBidi" w:cstheme="majorBidi"/>
                <w:color w:val="000000" w:themeColor="text1"/>
                <w:sz w:val="16"/>
                <w:szCs w:val="16"/>
                <w:lang w:val="en-GB"/>
              </w:rPr>
              <w:t>: INEFOP</w:t>
            </w:r>
          </w:p>
          <w:p w14:paraId="476D7F6F" w14:textId="572225F6" w:rsidR="00974AA7" w:rsidRPr="001005A8" w:rsidRDefault="00974AA7" w:rsidP="00422D51">
            <w:pPr>
              <w:pStyle w:val="ListParagraph"/>
              <w:spacing w:line="259" w:lineRule="auto"/>
              <w:ind w:left="0"/>
              <w:jc w:val="both"/>
              <w:rPr>
                <w:rFonts w:asciiTheme="majorBidi" w:hAnsiTheme="majorBidi" w:cstheme="majorBidi"/>
                <w:b/>
                <w:bCs/>
                <w:color w:val="000000" w:themeColor="text1"/>
                <w:sz w:val="16"/>
                <w:szCs w:val="16"/>
                <w:lang w:val="en-GB"/>
              </w:rPr>
            </w:pPr>
            <w:r w:rsidRPr="001005A8">
              <w:rPr>
                <w:rFonts w:asciiTheme="majorBidi" w:hAnsiTheme="majorBidi" w:cstheme="majorBidi"/>
                <w:b/>
                <w:bCs/>
                <w:color w:val="000000" w:themeColor="text1"/>
                <w:sz w:val="16"/>
                <w:szCs w:val="16"/>
                <w:lang w:val="en-GB"/>
              </w:rPr>
              <w:t>Frequency</w:t>
            </w:r>
            <w:r w:rsidRPr="001005A8">
              <w:rPr>
                <w:rFonts w:asciiTheme="majorBidi" w:hAnsiTheme="majorBidi" w:cstheme="majorBidi"/>
                <w:color w:val="000000" w:themeColor="text1"/>
                <w:sz w:val="16"/>
                <w:szCs w:val="16"/>
                <w:lang w:val="en-GB"/>
              </w:rPr>
              <w:t>: Annual</w:t>
            </w:r>
          </w:p>
        </w:tc>
        <w:tc>
          <w:tcPr>
            <w:tcW w:w="1980" w:type="dxa"/>
            <w:shd w:val="clear" w:color="auto" w:fill="auto"/>
          </w:tcPr>
          <w:p w14:paraId="4EBEAFB9" w14:textId="45EBC53F" w:rsidR="00974AA7" w:rsidRPr="001005A8" w:rsidRDefault="00974AA7" w:rsidP="00422D51">
            <w:pPr>
              <w:jc w:val="both"/>
              <w:rPr>
                <w:rFonts w:asciiTheme="majorBidi" w:hAnsiTheme="majorBidi" w:cstheme="majorBidi"/>
                <w:color w:val="000000"/>
                <w:sz w:val="16"/>
                <w:szCs w:val="16"/>
                <w:lang w:val="en-GB"/>
              </w:rPr>
            </w:pPr>
            <w:r w:rsidRPr="001005A8">
              <w:rPr>
                <w:rFonts w:asciiTheme="majorBidi" w:hAnsiTheme="majorBidi" w:cstheme="majorBidi"/>
                <w:color w:val="000000"/>
                <w:sz w:val="16"/>
                <w:szCs w:val="16"/>
                <w:lang w:val="en-GB"/>
              </w:rPr>
              <w:lastRenderedPageBreak/>
              <w:t>MEP, Ministry of Finance (MINFIN), AGT, Ministry of Labo</w:t>
            </w:r>
            <w:r w:rsidR="008B32E9" w:rsidRPr="001005A8">
              <w:rPr>
                <w:rFonts w:asciiTheme="majorBidi" w:hAnsiTheme="majorBidi" w:cstheme="majorBidi"/>
                <w:color w:val="000000"/>
                <w:sz w:val="16"/>
                <w:szCs w:val="16"/>
                <w:lang w:val="en-GB"/>
              </w:rPr>
              <w:t>u</w:t>
            </w:r>
            <w:r w:rsidRPr="001005A8">
              <w:rPr>
                <w:rFonts w:asciiTheme="majorBidi" w:hAnsiTheme="majorBidi" w:cstheme="majorBidi"/>
                <w:color w:val="000000"/>
                <w:sz w:val="16"/>
                <w:szCs w:val="16"/>
                <w:lang w:val="en-GB"/>
              </w:rPr>
              <w:t>r, Public Administration and Social Security (MAPTSS), Ministry of Agriculture and Forests (MINAGRIF), Ministry of Industry and Commerce (MINDCOM), INAPEM, INE, AfDB, EU, BADEA, World Bank, private sector.</w:t>
            </w:r>
          </w:p>
          <w:p w14:paraId="0468235A" w14:textId="77777777" w:rsidR="00974AA7" w:rsidRPr="001005A8" w:rsidRDefault="00974AA7" w:rsidP="00422D51">
            <w:pPr>
              <w:jc w:val="both"/>
              <w:rPr>
                <w:rFonts w:asciiTheme="majorBidi" w:hAnsiTheme="majorBidi" w:cstheme="majorBidi"/>
                <w:color w:val="000000"/>
                <w:sz w:val="16"/>
                <w:szCs w:val="16"/>
                <w:lang w:val="en-GB"/>
              </w:rPr>
            </w:pPr>
          </w:p>
          <w:p w14:paraId="2A20F0B0" w14:textId="77777777" w:rsidR="00974AA7" w:rsidRPr="001005A8" w:rsidRDefault="00974AA7" w:rsidP="00422D51">
            <w:pPr>
              <w:jc w:val="both"/>
              <w:rPr>
                <w:rFonts w:asciiTheme="majorBidi" w:hAnsiTheme="majorBidi" w:cstheme="majorBidi"/>
                <w:color w:val="000000"/>
                <w:sz w:val="16"/>
                <w:szCs w:val="16"/>
                <w:lang w:val="en-GB"/>
              </w:rPr>
            </w:pPr>
          </w:p>
          <w:p w14:paraId="4CBE643B" w14:textId="77777777" w:rsidR="00974AA7" w:rsidRPr="001005A8" w:rsidRDefault="00974AA7" w:rsidP="00422D51">
            <w:pPr>
              <w:jc w:val="both"/>
              <w:rPr>
                <w:rFonts w:asciiTheme="majorBidi" w:hAnsiTheme="majorBidi" w:cstheme="majorBidi"/>
                <w:color w:val="000000"/>
                <w:sz w:val="16"/>
                <w:szCs w:val="16"/>
                <w:lang w:val="en-GB"/>
              </w:rPr>
            </w:pPr>
          </w:p>
          <w:p w14:paraId="3F181289" w14:textId="77777777" w:rsidR="00974AA7" w:rsidRPr="001005A8" w:rsidRDefault="00974AA7" w:rsidP="00422D51">
            <w:pPr>
              <w:jc w:val="both"/>
              <w:rPr>
                <w:rFonts w:asciiTheme="majorBidi" w:hAnsiTheme="majorBidi" w:cstheme="majorBidi"/>
                <w:color w:val="000000"/>
                <w:sz w:val="16"/>
                <w:szCs w:val="16"/>
                <w:lang w:val="en-GB"/>
              </w:rPr>
            </w:pPr>
          </w:p>
          <w:p w14:paraId="198BE937" w14:textId="77777777" w:rsidR="00974AA7" w:rsidRPr="001005A8" w:rsidRDefault="00974AA7" w:rsidP="00422D51">
            <w:pPr>
              <w:jc w:val="both"/>
              <w:rPr>
                <w:rFonts w:asciiTheme="majorBidi" w:hAnsiTheme="majorBidi" w:cstheme="majorBidi"/>
                <w:color w:val="000000"/>
                <w:sz w:val="16"/>
                <w:szCs w:val="16"/>
                <w:lang w:val="en-GB"/>
              </w:rPr>
            </w:pPr>
          </w:p>
          <w:p w14:paraId="277E957C" w14:textId="77777777" w:rsidR="00974AA7" w:rsidRPr="001005A8" w:rsidRDefault="00974AA7" w:rsidP="00422D51">
            <w:pPr>
              <w:jc w:val="both"/>
              <w:rPr>
                <w:rFonts w:asciiTheme="majorBidi" w:hAnsiTheme="majorBidi" w:cstheme="majorBidi"/>
                <w:color w:val="000000"/>
                <w:sz w:val="16"/>
                <w:szCs w:val="16"/>
                <w:lang w:val="en-GB"/>
              </w:rPr>
            </w:pPr>
          </w:p>
          <w:p w14:paraId="6DF96AAA" w14:textId="77777777" w:rsidR="0064612E" w:rsidRPr="001005A8" w:rsidRDefault="0064612E" w:rsidP="00422D51">
            <w:pPr>
              <w:jc w:val="both"/>
              <w:rPr>
                <w:rFonts w:asciiTheme="majorBidi" w:hAnsiTheme="majorBidi" w:cstheme="majorBidi"/>
                <w:color w:val="000000"/>
                <w:sz w:val="16"/>
                <w:szCs w:val="16"/>
                <w:lang w:val="en-GB"/>
              </w:rPr>
            </w:pPr>
          </w:p>
          <w:p w14:paraId="3E4F341A" w14:textId="77777777" w:rsidR="0064612E" w:rsidRPr="001005A8" w:rsidRDefault="0064612E" w:rsidP="00422D51">
            <w:pPr>
              <w:jc w:val="both"/>
              <w:rPr>
                <w:rFonts w:asciiTheme="majorBidi" w:hAnsiTheme="majorBidi" w:cstheme="majorBidi"/>
                <w:color w:val="000000"/>
                <w:sz w:val="16"/>
                <w:szCs w:val="16"/>
                <w:lang w:val="en-GB"/>
              </w:rPr>
            </w:pPr>
          </w:p>
          <w:p w14:paraId="1AD67ED4" w14:textId="77777777" w:rsidR="0064612E" w:rsidRPr="001005A8" w:rsidRDefault="0064612E" w:rsidP="00422D51">
            <w:pPr>
              <w:jc w:val="both"/>
              <w:rPr>
                <w:rFonts w:asciiTheme="majorBidi" w:hAnsiTheme="majorBidi" w:cstheme="majorBidi"/>
                <w:color w:val="000000"/>
                <w:sz w:val="16"/>
                <w:szCs w:val="16"/>
                <w:lang w:val="en-GB"/>
              </w:rPr>
            </w:pPr>
          </w:p>
          <w:p w14:paraId="04F628E5" w14:textId="77777777" w:rsidR="0064612E" w:rsidRPr="001005A8" w:rsidRDefault="0064612E" w:rsidP="00422D51">
            <w:pPr>
              <w:jc w:val="both"/>
              <w:rPr>
                <w:rFonts w:asciiTheme="majorBidi" w:hAnsiTheme="majorBidi" w:cstheme="majorBidi"/>
                <w:color w:val="000000"/>
                <w:sz w:val="16"/>
                <w:szCs w:val="16"/>
                <w:lang w:val="en-GB"/>
              </w:rPr>
            </w:pPr>
          </w:p>
          <w:p w14:paraId="6FFEFE03" w14:textId="77777777" w:rsidR="0064612E" w:rsidRPr="001005A8" w:rsidRDefault="0064612E" w:rsidP="00422D51">
            <w:pPr>
              <w:jc w:val="both"/>
              <w:rPr>
                <w:rFonts w:asciiTheme="majorBidi" w:hAnsiTheme="majorBidi" w:cstheme="majorBidi"/>
                <w:color w:val="000000"/>
                <w:sz w:val="16"/>
                <w:szCs w:val="16"/>
                <w:lang w:val="en-GB"/>
              </w:rPr>
            </w:pPr>
          </w:p>
          <w:p w14:paraId="201BCBC1" w14:textId="77777777" w:rsidR="0064612E" w:rsidRPr="001005A8" w:rsidRDefault="0064612E" w:rsidP="00422D51">
            <w:pPr>
              <w:jc w:val="both"/>
              <w:rPr>
                <w:rFonts w:asciiTheme="majorBidi" w:hAnsiTheme="majorBidi" w:cstheme="majorBidi"/>
                <w:color w:val="000000"/>
                <w:sz w:val="16"/>
                <w:szCs w:val="16"/>
                <w:lang w:val="en-GB"/>
              </w:rPr>
            </w:pPr>
          </w:p>
          <w:p w14:paraId="5A170FCA" w14:textId="77777777" w:rsidR="0064612E" w:rsidRPr="001005A8" w:rsidRDefault="0064612E" w:rsidP="00422D51">
            <w:pPr>
              <w:jc w:val="both"/>
              <w:rPr>
                <w:rFonts w:asciiTheme="majorBidi" w:hAnsiTheme="majorBidi" w:cstheme="majorBidi"/>
                <w:color w:val="000000"/>
                <w:sz w:val="16"/>
                <w:szCs w:val="16"/>
                <w:lang w:val="en-GB"/>
              </w:rPr>
            </w:pPr>
          </w:p>
          <w:p w14:paraId="5464BC6B" w14:textId="77777777" w:rsidR="0064612E" w:rsidRPr="001005A8" w:rsidRDefault="0064612E" w:rsidP="00422D51">
            <w:pPr>
              <w:jc w:val="both"/>
              <w:rPr>
                <w:rFonts w:asciiTheme="majorBidi" w:hAnsiTheme="majorBidi" w:cstheme="majorBidi"/>
                <w:color w:val="000000"/>
                <w:sz w:val="16"/>
                <w:szCs w:val="16"/>
                <w:lang w:val="en-GB"/>
              </w:rPr>
            </w:pPr>
          </w:p>
          <w:p w14:paraId="3E3979DB" w14:textId="77777777" w:rsidR="00974AA7" w:rsidRPr="001005A8" w:rsidRDefault="00974AA7" w:rsidP="00422D51">
            <w:pPr>
              <w:jc w:val="both"/>
              <w:rPr>
                <w:rFonts w:asciiTheme="majorBidi" w:hAnsiTheme="majorBidi" w:cstheme="majorBidi"/>
                <w:color w:val="000000"/>
                <w:sz w:val="16"/>
                <w:szCs w:val="16"/>
                <w:lang w:val="en-GB"/>
              </w:rPr>
            </w:pPr>
          </w:p>
          <w:p w14:paraId="3E04AF29" w14:textId="77777777" w:rsidR="00974AA7" w:rsidRPr="001005A8" w:rsidRDefault="00974AA7" w:rsidP="00422D51">
            <w:pPr>
              <w:jc w:val="both"/>
              <w:rPr>
                <w:rFonts w:asciiTheme="majorBidi" w:hAnsiTheme="majorBidi" w:cstheme="majorBidi"/>
                <w:color w:val="000000"/>
                <w:sz w:val="16"/>
                <w:szCs w:val="16"/>
                <w:lang w:val="en-GB"/>
              </w:rPr>
            </w:pPr>
          </w:p>
          <w:p w14:paraId="54C08140" w14:textId="77777777" w:rsidR="00974AA7" w:rsidRPr="001005A8" w:rsidRDefault="00974AA7" w:rsidP="00422D51">
            <w:pPr>
              <w:jc w:val="both"/>
              <w:rPr>
                <w:rFonts w:asciiTheme="majorBidi" w:hAnsiTheme="majorBidi" w:cstheme="majorBidi"/>
                <w:color w:val="000000"/>
                <w:sz w:val="16"/>
                <w:szCs w:val="16"/>
                <w:lang w:val="en-GB"/>
              </w:rPr>
            </w:pPr>
          </w:p>
          <w:p w14:paraId="561B830C" w14:textId="77777777" w:rsidR="005A2F47" w:rsidRPr="001005A8" w:rsidRDefault="005A2F47" w:rsidP="00422D51">
            <w:pPr>
              <w:jc w:val="both"/>
              <w:rPr>
                <w:rFonts w:asciiTheme="majorBidi" w:hAnsiTheme="majorBidi" w:cstheme="majorBidi"/>
                <w:color w:val="000000"/>
                <w:sz w:val="16"/>
                <w:szCs w:val="16"/>
                <w:lang w:val="en-GB"/>
              </w:rPr>
            </w:pPr>
          </w:p>
          <w:p w14:paraId="43E8A45F" w14:textId="77777777" w:rsidR="005A2F47" w:rsidRPr="001005A8" w:rsidRDefault="005A2F47" w:rsidP="00422D51">
            <w:pPr>
              <w:jc w:val="both"/>
              <w:rPr>
                <w:rFonts w:asciiTheme="majorBidi" w:hAnsiTheme="majorBidi" w:cstheme="majorBidi"/>
                <w:color w:val="000000"/>
                <w:sz w:val="16"/>
                <w:szCs w:val="16"/>
                <w:lang w:val="en-GB"/>
              </w:rPr>
            </w:pPr>
          </w:p>
          <w:p w14:paraId="699B7D3A" w14:textId="77777777" w:rsidR="005A2F47" w:rsidRPr="001005A8" w:rsidRDefault="005A2F47" w:rsidP="00422D51">
            <w:pPr>
              <w:jc w:val="both"/>
              <w:rPr>
                <w:rFonts w:asciiTheme="majorBidi" w:hAnsiTheme="majorBidi" w:cstheme="majorBidi"/>
                <w:color w:val="000000"/>
                <w:sz w:val="16"/>
                <w:szCs w:val="16"/>
                <w:lang w:val="en-GB"/>
              </w:rPr>
            </w:pPr>
          </w:p>
          <w:p w14:paraId="1E613D5F" w14:textId="77777777" w:rsidR="005A2F47" w:rsidRPr="001005A8" w:rsidRDefault="005A2F47" w:rsidP="00422D51">
            <w:pPr>
              <w:jc w:val="both"/>
              <w:rPr>
                <w:rFonts w:asciiTheme="majorBidi" w:hAnsiTheme="majorBidi" w:cstheme="majorBidi"/>
                <w:color w:val="000000"/>
                <w:sz w:val="16"/>
                <w:szCs w:val="16"/>
                <w:lang w:val="en-GB"/>
              </w:rPr>
            </w:pPr>
          </w:p>
          <w:p w14:paraId="1B1C707B" w14:textId="77777777" w:rsidR="005A2F47" w:rsidRPr="001005A8" w:rsidRDefault="005A2F47" w:rsidP="00422D51">
            <w:pPr>
              <w:jc w:val="both"/>
              <w:rPr>
                <w:rFonts w:asciiTheme="majorBidi" w:hAnsiTheme="majorBidi" w:cstheme="majorBidi"/>
                <w:color w:val="000000"/>
                <w:sz w:val="16"/>
                <w:szCs w:val="16"/>
                <w:lang w:val="en-GB"/>
              </w:rPr>
            </w:pPr>
          </w:p>
          <w:p w14:paraId="6ECDE568" w14:textId="77777777" w:rsidR="005A2F47" w:rsidRPr="001005A8" w:rsidRDefault="005A2F47" w:rsidP="00422D51">
            <w:pPr>
              <w:jc w:val="both"/>
              <w:rPr>
                <w:rFonts w:asciiTheme="majorBidi" w:hAnsiTheme="majorBidi" w:cstheme="majorBidi"/>
                <w:color w:val="000000"/>
                <w:sz w:val="16"/>
                <w:szCs w:val="16"/>
                <w:lang w:val="en-GB"/>
              </w:rPr>
            </w:pPr>
          </w:p>
          <w:p w14:paraId="0C25290F" w14:textId="77777777" w:rsidR="005A2F47" w:rsidRPr="001005A8" w:rsidRDefault="005A2F47" w:rsidP="00422D51">
            <w:pPr>
              <w:jc w:val="both"/>
              <w:rPr>
                <w:rFonts w:asciiTheme="majorBidi" w:hAnsiTheme="majorBidi" w:cstheme="majorBidi"/>
                <w:color w:val="000000"/>
                <w:sz w:val="16"/>
                <w:szCs w:val="16"/>
                <w:lang w:val="en-GB"/>
              </w:rPr>
            </w:pPr>
          </w:p>
          <w:p w14:paraId="7083B497" w14:textId="1B34393B" w:rsidR="00974AA7" w:rsidRPr="001005A8" w:rsidRDefault="00974AA7" w:rsidP="000B427E">
            <w:pPr>
              <w:jc w:val="center"/>
              <w:rPr>
                <w:rFonts w:asciiTheme="majorBidi" w:hAnsiTheme="majorBidi" w:cstheme="majorBidi"/>
                <w:color w:val="000000"/>
                <w:sz w:val="16"/>
                <w:szCs w:val="16"/>
                <w:lang w:val="en-GB"/>
              </w:rPr>
            </w:pPr>
          </w:p>
        </w:tc>
        <w:tc>
          <w:tcPr>
            <w:tcW w:w="1760" w:type="dxa"/>
            <w:shd w:val="clear" w:color="auto" w:fill="auto"/>
            <w:tcMar>
              <w:top w:w="15" w:type="dxa"/>
              <w:left w:w="108" w:type="dxa"/>
              <w:bottom w:w="0" w:type="dxa"/>
              <w:right w:w="108" w:type="dxa"/>
            </w:tcMar>
          </w:tcPr>
          <w:p w14:paraId="07B3FB79" w14:textId="77777777" w:rsidR="00974AA7" w:rsidRPr="001005A8" w:rsidRDefault="00974AA7" w:rsidP="00422D51">
            <w:pPr>
              <w:jc w:val="both"/>
              <w:rPr>
                <w:rFonts w:asciiTheme="majorBidi" w:hAnsiTheme="majorBidi" w:cstheme="majorBidi"/>
                <w:b/>
                <w:bCs/>
                <w:color w:val="000000"/>
                <w:sz w:val="16"/>
                <w:szCs w:val="16"/>
                <w:lang w:val="en-GB"/>
              </w:rPr>
            </w:pPr>
            <w:r w:rsidRPr="001005A8">
              <w:rPr>
                <w:rFonts w:asciiTheme="majorBidi" w:hAnsiTheme="majorBidi" w:cstheme="majorBidi"/>
                <w:b/>
                <w:bCs/>
                <w:color w:val="000000"/>
                <w:sz w:val="16"/>
                <w:szCs w:val="16"/>
                <w:lang w:val="en-GB"/>
              </w:rPr>
              <w:t>Regular: 5,099</w:t>
            </w:r>
          </w:p>
          <w:p w14:paraId="1EC2F2C1" w14:textId="77777777" w:rsidR="00974AA7" w:rsidRPr="001005A8" w:rsidRDefault="00974AA7" w:rsidP="00422D51">
            <w:pPr>
              <w:jc w:val="both"/>
              <w:rPr>
                <w:rFonts w:asciiTheme="majorBidi" w:hAnsiTheme="majorBidi" w:cstheme="majorBidi"/>
                <w:b/>
                <w:bCs/>
                <w:color w:val="000000"/>
                <w:sz w:val="16"/>
                <w:szCs w:val="16"/>
                <w:lang w:val="en-GB"/>
              </w:rPr>
            </w:pPr>
          </w:p>
          <w:p w14:paraId="37E78685" w14:textId="77777777" w:rsidR="00974AA7" w:rsidRPr="001005A8" w:rsidRDefault="00974AA7" w:rsidP="00422D51">
            <w:pPr>
              <w:jc w:val="both"/>
              <w:rPr>
                <w:rFonts w:asciiTheme="majorBidi" w:hAnsiTheme="majorBidi" w:cstheme="majorBidi"/>
                <w:b/>
                <w:bCs/>
                <w:color w:val="000000"/>
                <w:sz w:val="16"/>
                <w:szCs w:val="16"/>
                <w:lang w:val="en-GB"/>
              </w:rPr>
            </w:pPr>
            <w:r w:rsidRPr="001005A8">
              <w:rPr>
                <w:rFonts w:asciiTheme="majorBidi" w:hAnsiTheme="majorBidi" w:cstheme="majorBidi"/>
                <w:b/>
                <w:bCs/>
                <w:color w:val="000000"/>
                <w:sz w:val="16"/>
                <w:szCs w:val="16"/>
                <w:lang w:val="en-GB"/>
              </w:rPr>
              <w:t>Other: 30,723</w:t>
            </w:r>
          </w:p>
          <w:p w14:paraId="48205CD4" w14:textId="77777777" w:rsidR="00974AA7" w:rsidRPr="001005A8" w:rsidRDefault="00974AA7" w:rsidP="00422D51">
            <w:pPr>
              <w:jc w:val="both"/>
              <w:rPr>
                <w:rFonts w:asciiTheme="majorBidi" w:hAnsiTheme="majorBidi" w:cstheme="majorBidi"/>
                <w:color w:val="000000"/>
                <w:sz w:val="16"/>
                <w:szCs w:val="16"/>
                <w:lang w:val="en-GB"/>
              </w:rPr>
            </w:pPr>
          </w:p>
          <w:p w14:paraId="1C9619EB" w14:textId="77777777" w:rsidR="00974AA7" w:rsidRPr="001005A8" w:rsidRDefault="00974AA7" w:rsidP="00422D51">
            <w:pPr>
              <w:jc w:val="both"/>
              <w:rPr>
                <w:rFonts w:asciiTheme="majorBidi" w:hAnsiTheme="majorBidi" w:cstheme="majorBidi"/>
                <w:color w:val="000000"/>
                <w:sz w:val="16"/>
                <w:szCs w:val="16"/>
                <w:lang w:val="en-GB"/>
              </w:rPr>
            </w:pPr>
          </w:p>
          <w:p w14:paraId="456D0B3C" w14:textId="77777777" w:rsidR="00974AA7" w:rsidRPr="001005A8" w:rsidRDefault="00974AA7" w:rsidP="00422D51">
            <w:pPr>
              <w:jc w:val="both"/>
              <w:rPr>
                <w:rFonts w:asciiTheme="majorBidi" w:hAnsiTheme="majorBidi" w:cstheme="majorBidi"/>
                <w:color w:val="000000"/>
                <w:sz w:val="16"/>
                <w:szCs w:val="16"/>
                <w:lang w:val="en-GB"/>
              </w:rPr>
            </w:pPr>
          </w:p>
          <w:p w14:paraId="0354E5DA" w14:textId="77777777" w:rsidR="00974AA7" w:rsidRPr="001005A8" w:rsidRDefault="00974AA7" w:rsidP="00422D51">
            <w:pPr>
              <w:jc w:val="both"/>
              <w:rPr>
                <w:rFonts w:asciiTheme="majorBidi" w:hAnsiTheme="majorBidi" w:cstheme="majorBidi"/>
                <w:color w:val="000000"/>
                <w:sz w:val="16"/>
                <w:szCs w:val="16"/>
                <w:lang w:val="en-GB"/>
              </w:rPr>
            </w:pPr>
          </w:p>
          <w:p w14:paraId="6B0282A2" w14:textId="77777777" w:rsidR="00974AA7" w:rsidRPr="001005A8" w:rsidRDefault="00974AA7" w:rsidP="00422D51">
            <w:pPr>
              <w:jc w:val="both"/>
              <w:rPr>
                <w:rFonts w:asciiTheme="majorBidi" w:hAnsiTheme="majorBidi" w:cstheme="majorBidi"/>
                <w:color w:val="000000"/>
                <w:sz w:val="16"/>
                <w:szCs w:val="16"/>
                <w:lang w:val="en-GB"/>
              </w:rPr>
            </w:pPr>
          </w:p>
          <w:p w14:paraId="5A5A61A9" w14:textId="77777777" w:rsidR="00974AA7" w:rsidRPr="001005A8" w:rsidRDefault="00974AA7" w:rsidP="00422D51">
            <w:pPr>
              <w:jc w:val="both"/>
              <w:rPr>
                <w:rFonts w:asciiTheme="majorBidi" w:hAnsiTheme="majorBidi" w:cstheme="majorBidi"/>
                <w:color w:val="000000"/>
                <w:sz w:val="16"/>
                <w:szCs w:val="16"/>
                <w:lang w:val="en-GB"/>
              </w:rPr>
            </w:pPr>
          </w:p>
          <w:p w14:paraId="58617506" w14:textId="77777777" w:rsidR="00974AA7" w:rsidRPr="001005A8" w:rsidRDefault="00974AA7" w:rsidP="00422D51">
            <w:pPr>
              <w:jc w:val="both"/>
              <w:rPr>
                <w:rFonts w:asciiTheme="majorBidi" w:hAnsiTheme="majorBidi" w:cstheme="majorBidi"/>
                <w:color w:val="000000"/>
                <w:sz w:val="16"/>
                <w:szCs w:val="16"/>
                <w:lang w:val="en-GB"/>
              </w:rPr>
            </w:pPr>
          </w:p>
          <w:p w14:paraId="2DD33ED9" w14:textId="77777777" w:rsidR="00974AA7" w:rsidRPr="001005A8" w:rsidRDefault="00974AA7" w:rsidP="00422D51">
            <w:pPr>
              <w:jc w:val="both"/>
              <w:rPr>
                <w:rFonts w:asciiTheme="majorBidi" w:hAnsiTheme="majorBidi" w:cstheme="majorBidi"/>
                <w:color w:val="000000"/>
                <w:sz w:val="16"/>
                <w:szCs w:val="16"/>
                <w:lang w:val="en-GB"/>
              </w:rPr>
            </w:pPr>
          </w:p>
          <w:p w14:paraId="1C1ED23E" w14:textId="77777777" w:rsidR="00974AA7" w:rsidRPr="001005A8" w:rsidRDefault="00974AA7" w:rsidP="00422D51">
            <w:pPr>
              <w:jc w:val="both"/>
              <w:rPr>
                <w:rFonts w:asciiTheme="majorBidi" w:hAnsiTheme="majorBidi" w:cstheme="majorBidi"/>
                <w:color w:val="000000"/>
                <w:sz w:val="16"/>
                <w:szCs w:val="16"/>
                <w:lang w:val="en-GB"/>
              </w:rPr>
            </w:pPr>
          </w:p>
          <w:p w14:paraId="65744BF8" w14:textId="77777777" w:rsidR="00974AA7" w:rsidRPr="001005A8" w:rsidRDefault="00974AA7" w:rsidP="00422D51">
            <w:pPr>
              <w:jc w:val="both"/>
              <w:rPr>
                <w:rFonts w:asciiTheme="majorBidi" w:hAnsiTheme="majorBidi" w:cstheme="majorBidi"/>
                <w:color w:val="000000"/>
                <w:sz w:val="16"/>
                <w:szCs w:val="16"/>
                <w:lang w:val="en-GB"/>
              </w:rPr>
            </w:pPr>
          </w:p>
          <w:p w14:paraId="399352D1" w14:textId="77777777" w:rsidR="00974AA7" w:rsidRPr="001005A8" w:rsidRDefault="00974AA7" w:rsidP="00422D51">
            <w:pPr>
              <w:jc w:val="both"/>
              <w:rPr>
                <w:rFonts w:asciiTheme="majorBidi" w:hAnsiTheme="majorBidi" w:cstheme="majorBidi"/>
                <w:color w:val="000000"/>
                <w:sz w:val="16"/>
                <w:szCs w:val="16"/>
                <w:lang w:val="en-GB"/>
              </w:rPr>
            </w:pPr>
          </w:p>
          <w:p w14:paraId="63DD0114" w14:textId="77777777" w:rsidR="00974AA7" w:rsidRPr="001005A8" w:rsidRDefault="00974AA7" w:rsidP="00422D51">
            <w:pPr>
              <w:jc w:val="both"/>
              <w:rPr>
                <w:rFonts w:asciiTheme="majorBidi" w:hAnsiTheme="majorBidi" w:cstheme="majorBidi"/>
                <w:color w:val="000000"/>
                <w:sz w:val="16"/>
                <w:szCs w:val="16"/>
                <w:lang w:val="en-GB"/>
              </w:rPr>
            </w:pPr>
          </w:p>
          <w:p w14:paraId="307F3E59" w14:textId="77777777" w:rsidR="00974AA7" w:rsidRPr="001005A8" w:rsidRDefault="00974AA7" w:rsidP="00422D51">
            <w:pPr>
              <w:jc w:val="both"/>
              <w:rPr>
                <w:rFonts w:asciiTheme="majorBidi" w:hAnsiTheme="majorBidi" w:cstheme="majorBidi"/>
                <w:color w:val="000000"/>
                <w:sz w:val="16"/>
                <w:szCs w:val="16"/>
                <w:lang w:val="en-GB"/>
              </w:rPr>
            </w:pPr>
          </w:p>
          <w:p w14:paraId="1C87AD42" w14:textId="77777777" w:rsidR="00974AA7" w:rsidRPr="001005A8" w:rsidRDefault="00974AA7" w:rsidP="00422D51">
            <w:pPr>
              <w:jc w:val="both"/>
              <w:rPr>
                <w:rFonts w:asciiTheme="majorBidi" w:hAnsiTheme="majorBidi" w:cstheme="majorBidi"/>
                <w:color w:val="000000"/>
                <w:sz w:val="16"/>
                <w:szCs w:val="16"/>
                <w:lang w:val="en-GB"/>
              </w:rPr>
            </w:pPr>
          </w:p>
          <w:p w14:paraId="1C0E770C" w14:textId="77777777" w:rsidR="00974AA7" w:rsidRPr="001005A8" w:rsidRDefault="00974AA7" w:rsidP="00422D51">
            <w:pPr>
              <w:jc w:val="both"/>
              <w:rPr>
                <w:rFonts w:asciiTheme="majorBidi" w:hAnsiTheme="majorBidi" w:cstheme="majorBidi"/>
                <w:color w:val="000000"/>
                <w:sz w:val="16"/>
                <w:szCs w:val="16"/>
                <w:lang w:val="en-GB"/>
              </w:rPr>
            </w:pPr>
          </w:p>
          <w:p w14:paraId="71F9D86E" w14:textId="77777777" w:rsidR="00974AA7" w:rsidRPr="001005A8" w:rsidRDefault="00974AA7" w:rsidP="00422D51">
            <w:pPr>
              <w:jc w:val="both"/>
              <w:rPr>
                <w:rFonts w:asciiTheme="majorBidi" w:hAnsiTheme="majorBidi" w:cstheme="majorBidi"/>
                <w:color w:val="000000"/>
                <w:sz w:val="16"/>
                <w:szCs w:val="16"/>
                <w:lang w:val="en-GB"/>
              </w:rPr>
            </w:pPr>
          </w:p>
          <w:p w14:paraId="7875E06D" w14:textId="77777777" w:rsidR="0064612E" w:rsidRPr="001005A8" w:rsidRDefault="0064612E" w:rsidP="00422D51">
            <w:pPr>
              <w:jc w:val="both"/>
              <w:rPr>
                <w:rFonts w:asciiTheme="majorBidi" w:hAnsiTheme="majorBidi" w:cstheme="majorBidi"/>
                <w:color w:val="000000"/>
                <w:sz w:val="16"/>
                <w:szCs w:val="16"/>
                <w:lang w:val="en-GB"/>
              </w:rPr>
            </w:pPr>
          </w:p>
          <w:p w14:paraId="090F6A54" w14:textId="77777777" w:rsidR="0064612E" w:rsidRPr="001005A8" w:rsidRDefault="0064612E" w:rsidP="00422D51">
            <w:pPr>
              <w:jc w:val="both"/>
              <w:rPr>
                <w:rFonts w:asciiTheme="majorBidi" w:hAnsiTheme="majorBidi" w:cstheme="majorBidi"/>
                <w:color w:val="000000"/>
                <w:sz w:val="16"/>
                <w:szCs w:val="16"/>
                <w:lang w:val="en-GB"/>
              </w:rPr>
            </w:pPr>
          </w:p>
          <w:p w14:paraId="474A0FD1" w14:textId="77777777" w:rsidR="0064612E" w:rsidRPr="001005A8" w:rsidRDefault="0064612E" w:rsidP="00422D51">
            <w:pPr>
              <w:jc w:val="both"/>
              <w:rPr>
                <w:rFonts w:asciiTheme="majorBidi" w:hAnsiTheme="majorBidi" w:cstheme="majorBidi"/>
                <w:color w:val="000000"/>
                <w:sz w:val="16"/>
                <w:szCs w:val="16"/>
                <w:lang w:val="en-GB"/>
              </w:rPr>
            </w:pPr>
          </w:p>
          <w:p w14:paraId="61C7A03E" w14:textId="77777777" w:rsidR="0064612E" w:rsidRPr="001005A8" w:rsidRDefault="0064612E" w:rsidP="00422D51">
            <w:pPr>
              <w:jc w:val="both"/>
              <w:rPr>
                <w:rFonts w:asciiTheme="majorBidi" w:hAnsiTheme="majorBidi" w:cstheme="majorBidi"/>
                <w:color w:val="000000"/>
                <w:sz w:val="16"/>
                <w:szCs w:val="16"/>
                <w:lang w:val="en-GB"/>
              </w:rPr>
            </w:pPr>
          </w:p>
          <w:p w14:paraId="437428C8" w14:textId="77777777" w:rsidR="0064612E" w:rsidRPr="001005A8" w:rsidRDefault="0064612E" w:rsidP="00422D51">
            <w:pPr>
              <w:jc w:val="both"/>
              <w:rPr>
                <w:rFonts w:asciiTheme="majorBidi" w:hAnsiTheme="majorBidi" w:cstheme="majorBidi"/>
                <w:color w:val="000000"/>
                <w:sz w:val="16"/>
                <w:szCs w:val="16"/>
                <w:lang w:val="en-GB"/>
              </w:rPr>
            </w:pPr>
          </w:p>
          <w:p w14:paraId="673BED49" w14:textId="77777777" w:rsidR="0064612E" w:rsidRPr="001005A8" w:rsidRDefault="0064612E" w:rsidP="00422D51">
            <w:pPr>
              <w:jc w:val="both"/>
              <w:rPr>
                <w:rFonts w:asciiTheme="majorBidi" w:hAnsiTheme="majorBidi" w:cstheme="majorBidi"/>
                <w:color w:val="000000"/>
                <w:sz w:val="16"/>
                <w:szCs w:val="16"/>
                <w:lang w:val="en-GB"/>
              </w:rPr>
            </w:pPr>
          </w:p>
          <w:p w14:paraId="1D6A27F0" w14:textId="77777777" w:rsidR="0064612E" w:rsidRPr="001005A8" w:rsidRDefault="0064612E" w:rsidP="00422D51">
            <w:pPr>
              <w:jc w:val="both"/>
              <w:rPr>
                <w:rFonts w:asciiTheme="majorBidi" w:hAnsiTheme="majorBidi" w:cstheme="majorBidi"/>
                <w:color w:val="000000"/>
                <w:sz w:val="16"/>
                <w:szCs w:val="16"/>
                <w:lang w:val="en-GB"/>
              </w:rPr>
            </w:pPr>
          </w:p>
          <w:p w14:paraId="4505BA00" w14:textId="77777777" w:rsidR="0064612E" w:rsidRPr="001005A8" w:rsidRDefault="0064612E" w:rsidP="00422D51">
            <w:pPr>
              <w:jc w:val="both"/>
              <w:rPr>
                <w:rFonts w:asciiTheme="majorBidi" w:hAnsiTheme="majorBidi" w:cstheme="majorBidi"/>
                <w:color w:val="000000"/>
                <w:sz w:val="16"/>
                <w:szCs w:val="16"/>
                <w:lang w:val="en-GB"/>
              </w:rPr>
            </w:pPr>
          </w:p>
          <w:p w14:paraId="0961B2EF" w14:textId="77777777" w:rsidR="0064612E" w:rsidRPr="001005A8" w:rsidRDefault="0064612E" w:rsidP="00422D51">
            <w:pPr>
              <w:jc w:val="both"/>
              <w:rPr>
                <w:rFonts w:asciiTheme="majorBidi" w:hAnsiTheme="majorBidi" w:cstheme="majorBidi"/>
                <w:color w:val="000000"/>
                <w:sz w:val="16"/>
                <w:szCs w:val="16"/>
                <w:lang w:val="en-GB"/>
              </w:rPr>
            </w:pPr>
          </w:p>
          <w:p w14:paraId="7C88C4F8" w14:textId="77777777" w:rsidR="0064612E" w:rsidRPr="001005A8" w:rsidRDefault="0064612E" w:rsidP="00422D51">
            <w:pPr>
              <w:jc w:val="both"/>
              <w:rPr>
                <w:rFonts w:asciiTheme="majorBidi" w:hAnsiTheme="majorBidi" w:cstheme="majorBidi"/>
                <w:color w:val="000000"/>
                <w:sz w:val="16"/>
                <w:szCs w:val="16"/>
                <w:lang w:val="en-GB"/>
              </w:rPr>
            </w:pPr>
          </w:p>
          <w:p w14:paraId="6789FF0C" w14:textId="77777777" w:rsidR="0064612E" w:rsidRPr="001005A8" w:rsidRDefault="0064612E" w:rsidP="00422D51">
            <w:pPr>
              <w:jc w:val="both"/>
              <w:rPr>
                <w:rFonts w:asciiTheme="majorBidi" w:hAnsiTheme="majorBidi" w:cstheme="majorBidi"/>
                <w:color w:val="000000"/>
                <w:sz w:val="16"/>
                <w:szCs w:val="16"/>
                <w:lang w:val="en-GB"/>
              </w:rPr>
            </w:pPr>
          </w:p>
          <w:p w14:paraId="0E5B6504" w14:textId="77777777" w:rsidR="0064612E" w:rsidRPr="001005A8" w:rsidRDefault="0064612E" w:rsidP="00422D51">
            <w:pPr>
              <w:jc w:val="both"/>
              <w:rPr>
                <w:rFonts w:asciiTheme="majorBidi" w:hAnsiTheme="majorBidi" w:cstheme="majorBidi"/>
                <w:color w:val="000000"/>
                <w:sz w:val="16"/>
                <w:szCs w:val="16"/>
                <w:lang w:val="en-GB"/>
              </w:rPr>
            </w:pPr>
          </w:p>
          <w:p w14:paraId="0280C68F" w14:textId="77777777" w:rsidR="0064612E" w:rsidRPr="001005A8" w:rsidRDefault="0064612E" w:rsidP="00422D51">
            <w:pPr>
              <w:jc w:val="both"/>
              <w:rPr>
                <w:rFonts w:asciiTheme="majorBidi" w:hAnsiTheme="majorBidi" w:cstheme="majorBidi"/>
                <w:color w:val="000000"/>
                <w:sz w:val="16"/>
                <w:szCs w:val="16"/>
                <w:lang w:val="en-GB"/>
              </w:rPr>
            </w:pPr>
          </w:p>
          <w:p w14:paraId="4BACAF05" w14:textId="77777777" w:rsidR="0064612E" w:rsidRPr="001005A8" w:rsidRDefault="0064612E" w:rsidP="00422D51">
            <w:pPr>
              <w:jc w:val="both"/>
              <w:rPr>
                <w:rFonts w:asciiTheme="majorBidi" w:hAnsiTheme="majorBidi" w:cstheme="majorBidi"/>
                <w:color w:val="000000"/>
                <w:sz w:val="16"/>
                <w:szCs w:val="16"/>
                <w:lang w:val="en-GB"/>
              </w:rPr>
            </w:pPr>
          </w:p>
          <w:p w14:paraId="18F0E255" w14:textId="77777777" w:rsidR="00974AA7" w:rsidRPr="001005A8" w:rsidRDefault="00974AA7" w:rsidP="00422D51">
            <w:pPr>
              <w:jc w:val="both"/>
              <w:rPr>
                <w:rFonts w:asciiTheme="majorBidi" w:hAnsiTheme="majorBidi" w:cstheme="majorBidi"/>
                <w:color w:val="000000"/>
                <w:sz w:val="16"/>
                <w:szCs w:val="16"/>
                <w:lang w:val="en-GB"/>
              </w:rPr>
            </w:pPr>
          </w:p>
          <w:p w14:paraId="6C279FC8" w14:textId="77777777" w:rsidR="00974AA7" w:rsidRPr="001005A8" w:rsidRDefault="00974AA7" w:rsidP="00422D51">
            <w:pPr>
              <w:jc w:val="both"/>
              <w:rPr>
                <w:rFonts w:asciiTheme="majorBidi" w:hAnsiTheme="majorBidi" w:cstheme="majorBidi"/>
                <w:color w:val="000000"/>
                <w:sz w:val="16"/>
                <w:szCs w:val="16"/>
                <w:lang w:val="en-GB"/>
              </w:rPr>
            </w:pPr>
          </w:p>
          <w:p w14:paraId="4729B1BE" w14:textId="77777777" w:rsidR="00974AA7" w:rsidRPr="001005A8" w:rsidRDefault="00974AA7" w:rsidP="00422D51">
            <w:pPr>
              <w:jc w:val="both"/>
              <w:rPr>
                <w:rFonts w:asciiTheme="majorBidi" w:hAnsiTheme="majorBidi" w:cstheme="majorBidi"/>
                <w:color w:val="000000"/>
                <w:sz w:val="16"/>
                <w:szCs w:val="16"/>
                <w:lang w:val="en-GB"/>
              </w:rPr>
            </w:pPr>
          </w:p>
          <w:p w14:paraId="2594AA0E" w14:textId="77777777" w:rsidR="00974AA7" w:rsidRPr="001005A8" w:rsidRDefault="00974AA7" w:rsidP="00422D51">
            <w:pPr>
              <w:jc w:val="both"/>
              <w:rPr>
                <w:rFonts w:asciiTheme="majorBidi" w:hAnsiTheme="majorBidi" w:cstheme="majorBidi"/>
                <w:color w:val="000000"/>
                <w:sz w:val="16"/>
                <w:szCs w:val="16"/>
                <w:lang w:val="en-GB"/>
              </w:rPr>
            </w:pPr>
          </w:p>
          <w:p w14:paraId="3A15CD14" w14:textId="77777777" w:rsidR="005A2F47" w:rsidRPr="001005A8" w:rsidRDefault="005A2F47" w:rsidP="00422D51">
            <w:pPr>
              <w:jc w:val="both"/>
              <w:rPr>
                <w:rFonts w:asciiTheme="majorBidi" w:hAnsiTheme="majorBidi" w:cstheme="majorBidi"/>
                <w:color w:val="000000"/>
                <w:sz w:val="16"/>
                <w:szCs w:val="16"/>
                <w:lang w:val="en-GB"/>
              </w:rPr>
            </w:pPr>
          </w:p>
          <w:p w14:paraId="6CB41331" w14:textId="77777777" w:rsidR="005A2F47" w:rsidRPr="001005A8" w:rsidRDefault="005A2F47" w:rsidP="00422D51">
            <w:pPr>
              <w:jc w:val="both"/>
              <w:rPr>
                <w:rFonts w:asciiTheme="majorBidi" w:hAnsiTheme="majorBidi" w:cstheme="majorBidi"/>
                <w:color w:val="000000"/>
                <w:sz w:val="16"/>
                <w:szCs w:val="16"/>
                <w:lang w:val="en-GB"/>
              </w:rPr>
            </w:pPr>
          </w:p>
          <w:p w14:paraId="6AE009AA" w14:textId="77777777" w:rsidR="005A2F47" w:rsidRPr="001005A8" w:rsidRDefault="005A2F47" w:rsidP="00422D51">
            <w:pPr>
              <w:jc w:val="both"/>
              <w:rPr>
                <w:rFonts w:asciiTheme="majorBidi" w:hAnsiTheme="majorBidi" w:cstheme="majorBidi"/>
                <w:color w:val="000000"/>
                <w:sz w:val="16"/>
                <w:szCs w:val="16"/>
                <w:lang w:val="en-GB"/>
              </w:rPr>
            </w:pPr>
          </w:p>
          <w:p w14:paraId="34C4DFAA" w14:textId="77777777" w:rsidR="005A2F47" w:rsidRPr="001005A8" w:rsidRDefault="005A2F47" w:rsidP="00422D51">
            <w:pPr>
              <w:jc w:val="both"/>
              <w:rPr>
                <w:rFonts w:asciiTheme="majorBidi" w:hAnsiTheme="majorBidi" w:cstheme="majorBidi"/>
                <w:color w:val="000000"/>
                <w:sz w:val="16"/>
                <w:szCs w:val="16"/>
                <w:lang w:val="en-GB"/>
              </w:rPr>
            </w:pPr>
          </w:p>
          <w:p w14:paraId="50E599C3" w14:textId="77777777" w:rsidR="005A2F47" w:rsidRPr="001005A8" w:rsidRDefault="005A2F47" w:rsidP="00422D51">
            <w:pPr>
              <w:jc w:val="both"/>
              <w:rPr>
                <w:rFonts w:asciiTheme="majorBidi" w:hAnsiTheme="majorBidi" w:cstheme="majorBidi"/>
                <w:color w:val="000000"/>
                <w:sz w:val="16"/>
                <w:szCs w:val="16"/>
                <w:lang w:val="en-GB"/>
              </w:rPr>
            </w:pPr>
          </w:p>
          <w:p w14:paraId="65D9C9EF" w14:textId="77777777" w:rsidR="005A2F47" w:rsidRPr="001005A8" w:rsidRDefault="005A2F47" w:rsidP="00422D51">
            <w:pPr>
              <w:jc w:val="both"/>
              <w:rPr>
                <w:rFonts w:asciiTheme="majorBidi" w:hAnsiTheme="majorBidi" w:cstheme="majorBidi"/>
                <w:color w:val="000000"/>
                <w:sz w:val="16"/>
                <w:szCs w:val="16"/>
                <w:lang w:val="en-GB"/>
              </w:rPr>
            </w:pPr>
          </w:p>
          <w:p w14:paraId="6DB8DB53" w14:textId="77777777" w:rsidR="005A2F47" w:rsidRPr="001005A8" w:rsidRDefault="005A2F47" w:rsidP="00422D51">
            <w:pPr>
              <w:jc w:val="both"/>
              <w:rPr>
                <w:rFonts w:asciiTheme="majorBidi" w:hAnsiTheme="majorBidi" w:cstheme="majorBidi"/>
                <w:color w:val="000000"/>
                <w:sz w:val="16"/>
                <w:szCs w:val="16"/>
                <w:lang w:val="en-GB"/>
              </w:rPr>
            </w:pPr>
          </w:p>
          <w:p w14:paraId="3B6CBE9B" w14:textId="77777777" w:rsidR="005A2F47" w:rsidRPr="001005A8" w:rsidRDefault="005A2F47" w:rsidP="00422D51">
            <w:pPr>
              <w:jc w:val="both"/>
              <w:rPr>
                <w:rFonts w:asciiTheme="majorBidi" w:hAnsiTheme="majorBidi" w:cstheme="majorBidi"/>
                <w:color w:val="000000"/>
                <w:sz w:val="16"/>
                <w:szCs w:val="16"/>
                <w:lang w:val="en-GB"/>
              </w:rPr>
            </w:pPr>
          </w:p>
          <w:p w14:paraId="3DD77B86" w14:textId="77777777" w:rsidR="00974AA7" w:rsidRPr="001005A8" w:rsidRDefault="00974AA7" w:rsidP="000C3CC4">
            <w:pPr>
              <w:jc w:val="both"/>
              <w:rPr>
                <w:rFonts w:asciiTheme="majorBidi" w:hAnsiTheme="majorBidi" w:cstheme="majorBidi"/>
                <w:color w:val="000000"/>
                <w:sz w:val="16"/>
                <w:szCs w:val="16"/>
                <w:lang w:val="en-GB"/>
              </w:rPr>
            </w:pPr>
          </w:p>
        </w:tc>
      </w:tr>
      <w:tr w:rsidR="00974AA7" w:rsidRPr="001005A8" w14:paraId="08E3CBE2" w14:textId="77777777" w:rsidTr="00422D51">
        <w:trPr>
          <w:trHeight w:val="24"/>
        </w:trPr>
        <w:tc>
          <w:tcPr>
            <w:tcW w:w="13095" w:type="dxa"/>
            <w:gridSpan w:val="5"/>
            <w:shd w:val="clear" w:color="auto" w:fill="DBE5F1" w:themeFill="accent1" w:themeFillTint="33"/>
            <w:tcMar>
              <w:top w:w="72" w:type="dxa"/>
              <w:left w:w="144" w:type="dxa"/>
              <w:bottom w:w="72" w:type="dxa"/>
              <w:right w:w="144" w:type="dxa"/>
            </w:tcMar>
          </w:tcPr>
          <w:p w14:paraId="428F274F" w14:textId="32DFF5A7" w:rsidR="00974AA7" w:rsidRPr="001005A8" w:rsidRDefault="00974AA7" w:rsidP="00422D51">
            <w:pPr>
              <w:rPr>
                <w:rFonts w:asciiTheme="majorBidi" w:hAnsiTheme="majorBidi" w:cstheme="majorBidi"/>
                <w:sz w:val="16"/>
                <w:szCs w:val="16"/>
                <w:lang w:val="en-GB"/>
              </w:rPr>
            </w:pPr>
            <w:r w:rsidRPr="001005A8">
              <w:rPr>
                <w:rFonts w:asciiTheme="majorBidi" w:hAnsiTheme="majorBidi" w:cstheme="majorBidi"/>
                <w:b/>
                <w:bCs/>
                <w:color w:val="000000" w:themeColor="text1"/>
                <w:sz w:val="16"/>
                <w:szCs w:val="16"/>
                <w:lang w:val="en-GB"/>
              </w:rPr>
              <w:lastRenderedPageBreak/>
              <w:t xml:space="preserve">NATIONAL PRIORITY OR GOAL: </w:t>
            </w:r>
            <w:r w:rsidRPr="001005A8">
              <w:rPr>
                <w:rFonts w:asciiTheme="majorBidi" w:hAnsiTheme="majorBidi" w:cstheme="majorBidi"/>
                <w:sz w:val="16"/>
                <w:szCs w:val="16"/>
                <w:lang w:val="en-GB"/>
              </w:rPr>
              <w:t>National Development Plan (NDP) 2023-2027</w:t>
            </w:r>
            <w:r w:rsidR="008B32E9" w:rsidRPr="001005A8">
              <w:rPr>
                <w:rFonts w:asciiTheme="majorBidi" w:hAnsiTheme="majorBidi" w:cstheme="majorBidi"/>
                <w:sz w:val="16"/>
                <w:szCs w:val="16"/>
                <w:lang w:val="en-GB"/>
              </w:rPr>
              <w:t xml:space="preserve"> </w:t>
            </w:r>
            <w:r w:rsidR="001005A8" w:rsidRPr="001005A8">
              <w:rPr>
                <w:rFonts w:asciiTheme="majorBidi" w:hAnsiTheme="majorBidi" w:cstheme="majorBidi"/>
                <w:sz w:val="16"/>
                <w:szCs w:val="16"/>
                <w:lang w:val="en-GB"/>
              </w:rPr>
              <w:t>| Priority</w:t>
            </w:r>
            <w:r w:rsidRPr="001005A8">
              <w:rPr>
                <w:rFonts w:asciiTheme="majorBidi" w:hAnsiTheme="majorBidi" w:cstheme="majorBidi"/>
                <w:sz w:val="16"/>
                <w:szCs w:val="16"/>
                <w:lang w:val="en-GB"/>
              </w:rPr>
              <w:t xml:space="preserve"> 1: Human capital development</w:t>
            </w:r>
          </w:p>
        </w:tc>
      </w:tr>
      <w:tr w:rsidR="00974AA7" w:rsidRPr="001005A8" w14:paraId="004A5B15" w14:textId="77777777" w:rsidTr="00422D51">
        <w:trPr>
          <w:trHeight w:val="24"/>
        </w:trPr>
        <w:tc>
          <w:tcPr>
            <w:tcW w:w="13095" w:type="dxa"/>
            <w:gridSpan w:val="5"/>
            <w:shd w:val="clear" w:color="auto" w:fill="DBE5F1" w:themeFill="accent1" w:themeFillTint="33"/>
            <w:tcMar>
              <w:top w:w="72" w:type="dxa"/>
              <w:left w:w="144" w:type="dxa"/>
              <w:bottom w:w="72" w:type="dxa"/>
              <w:right w:w="144" w:type="dxa"/>
            </w:tcMar>
          </w:tcPr>
          <w:p w14:paraId="261149D6" w14:textId="5594205B"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color w:val="000000" w:themeColor="text1"/>
                <w:sz w:val="16"/>
                <w:szCs w:val="16"/>
                <w:lang w:val="en-GB"/>
              </w:rPr>
              <w:t>COOPERATION FRAMEWORK OUTCOME INVOLVING UNDP #2:</w:t>
            </w:r>
            <w:r w:rsidRPr="001005A8">
              <w:rPr>
                <w:lang w:val="en-GB"/>
              </w:rPr>
              <w:t xml:space="preserve"> </w:t>
            </w:r>
            <w:r w:rsidRPr="001005A8">
              <w:rPr>
                <w:sz w:val="16"/>
                <w:szCs w:val="16"/>
                <w:lang w:val="en-GB"/>
              </w:rPr>
              <w:t xml:space="preserve">Outcome 1. </w:t>
            </w:r>
            <w:r w:rsidRPr="001005A8">
              <w:rPr>
                <w:rFonts w:asciiTheme="majorBidi" w:hAnsiTheme="majorBidi" w:cstheme="majorBidi"/>
                <w:sz w:val="16"/>
                <w:szCs w:val="16"/>
                <w:lang w:val="en-GB"/>
              </w:rPr>
              <w:t>By 2028, more people, especially women, youth and the most vulnerable, use and have equitable access to quality social services delivered by effective institutions.</w:t>
            </w:r>
          </w:p>
        </w:tc>
      </w:tr>
      <w:tr w:rsidR="00974AA7" w:rsidRPr="001005A8" w14:paraId="4C9F3C3E" w14:textId="77777777" w:rsidTr="00422D51">
        <w:trPr>
          <w:trHeight w:val="24"/>
        </w:trPr>
        <w:tc>
          <w:tcPr>
            <w:tcW w:w="13095" w:type="dxa"/>
            <w:gridSpan w:val="5"/>
            <w:shd w:val="clear" w:color="auto" w:fill="DBE5F1" w:themeFill="accent1" w:themeFillTint="33"/>
            <w:tcMar>
              <w:top w:w="72" w:type="dxa"/>
              <w:left w:w="144" w:type="dxa"/>
              <w:bottom w:w="72" w:type="dxa"/>
              <w:right w:w="144" w:type="dxa"/>
            </w:tcMar>
          </w:tcPr>
          <w:p w14:paraId="3F94DAEB" w14:textId="77777777" w:rsidR="00974AA7" w:rsidRPr="001005A8" w:rsidRDefault="00974AA7" w:rsidP="00422D51">
            <w:pPr>
              <w:rPr>
                <w:rFonts w:asciiTheme="majorBidi" w:hAnsiTheme="majorBidi" w:cstheme="majorBidi"/>
                <w:i/>
                <w:iCs/>
                <w:sz w:val="16"/>
                <w:szCs w:val="16"/>
                <w:lang w:val="en-GB"/>
              </w:rPr>
            </w:pPr>
            <w:r w:rsidRPr="001005A8">
              <w:rPr>
                <w:rFonts w:asciiTheme="majorBidi" w:hAnsiTheme="majorBidi" w:cstheme="majorBidi"/>
                <w:b/>
                <w:bCs/>
                <w:color w:val="000000" w:themeColor="text1"/>
                <w:sz w:val="16"/>
                <w:szCs w:val="16"/>
                <w:lang w:val="en-GB"/>
              </w:rPr>
              <w:t xml:space="preserve">RELATED STRATEGIC PLAN OUTCOME: </w:t>
            </w:r>
            <w:r w:rsidRPr="001005A8">
              <w:rPr>
                <w:rFonts w:asciiTheme="majorBidi" w:hAnsiTheme="majorBidi" w:cstheme="majorBidi"/>
                <w:sz w:val="16"/>
                <w:szCs w:val="16"/>
                <w:lang w:val="en-GB"/>
              </w:rPr>
              <w:t>Outcome 2. No one left behind centring on equitable access to opportunities and a rights-based approach to human agency and human development.</w:t>
            </w:r>
          </w:p>
        </w:tc>
      </w:tr>
      <w:tr w:rsidR="00974AA7" w:rsidRPr="001005A8" w14:paraId="49B0CFCB" w14:textId="77777777" w:rsidTr="0064612E">
        <w:trPr>
          <w:trHeight w:val="2528"/>
        </w:trPr>
        <w:tc>
          <w:tcPr>
            <w:tcW w:w="2785" w:type="dxa"/>
            <w:tcMar>
              <w:top w:w="72" w:type="dxa"/>
              <w:left w:w="144" w:type="dxa"/>
              <w:bottom w:w="72" w:type="dxa"/>
              <w:right w:w="144" w:type="dxa"/>
            </w:tcMar>
          </w:tcPr>
          <w:p w14:paraId="13D6FAB5" w14:textId="6E87C724" w:rsidR="00974AA7" w:rsidRPr="001005A8" w:rsidRDefault="00974AA7" w:rsidP="00264CC3">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Indicator 2.1</w:t>
            </w:r>
            <w:r w:rsidR="008B32E9" w:rsidRPr="001005A8">
              <w:rPr>
                <w:rFonts w:asciiTheme="majorBidi" w:hAnsiTheme="majorBidi" w:cstheme="majorBidi"/>
                <w:sz w:val="16"/>
                <w:szCs w:val="16"/>
                <w:lang w:val="en-GB"/>
              </w:rPr>
              <w:t>.</w:t>
            </w:r>
            <w:r w:rsidRPr="001005A8">
              <w:rPr>
                <w:rFonts w:asciiTheme="majorBidi" w:hAnsiTheme="majorBidi" w:cstheme="majorBidi"/>
                <w:sz w:val="16"/>
                <w:szCs w:val="16"/>
                <w:lang w:val="en-GB"/>
              </w:rPr>
              <w:t xml:space="preserve"> </w:t>
            </w:r>
            <w:r w:rsidRPr="001005A8">
              <w:rPr>
                <w:rFonts w:asciiTheme="majorBidi" w:hAnsiTheme="majorBidi" w:cstheme="majorBidi"/>
                <w:color w:val="000000" w:themeColor="text1"/>
                <w:sz w:val="16"/>
                <w:szCs w:val="16"/>
                <w:lang w:val="en-GB"/>
              </w:rPr>
              <w:t>Number of new HIV infections per 1,000 uninfected populations by sex, age, and key populations.</w:t>
            </w:r>
            <w:r w:rsidRPr="001005A8">
              <w:rPr>
                <w:rFonts w:asciiTheme="majorBidi" w:hAnsiTheme="majorBidi" w:cstheme="majorBidi"/>
                <w:sz w:val="16"/>
                <w:szCs w:val="16"/>
                <w:lang w:val="en-GB"/>
              </w:rPr>
              <w:br/>
            </w:r>
            <w:r w:rsidRPr="001005A8">
              <w:rPr>
                <w:rFonts w:asciiTheme="majorBidi" w:hAnsiTheme="majorBidi" w:cstheme="majorBidi"/>
                <w:b/>
                <w:bCs/>
                <w:sz w:val="16"/>
                <w:szCs w:val="16"/>
                <w:lang w:val="en-GB"/>
              </w:rPr>
              <w:t>Baseline (2021)</w:t>
            </w:r>
            <w:r w:rsidRPr="001005A8">
              <w:rPr>
                <w:rFonts w:asciiTheme="majorBidi" w:hAnsiTheme="majorBidi" w:cstheme="majorBidi"/>
                <w:sz w:val="16"/>
                <w:szCs w:val="16"/>
                <w:lang w:val="en-GB"/>
              </w:rPr>
              <w:t>: 0.52</w:t>
            </w:r>
            <w:r w:rsidRPr="001005A8">
              <w:rPr>
                <w:rFonts w:asciiTheme="majorBidi" w:hAnsiTheme="majorBidi" w:cstheme="majorBidi"/>
                <w:sz w:val="16"/>
                <w:szCs w:val="16"/>
                <w:lang w:val="en-GB"/>
              </w:rPr>
              <w:br/>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w:t>
            </w:r>
            <w:r w:rsidRPr="001005A8">
              <w:rPr>
                <w:rFonts w:asciiTheme="majorBidi" w:hAnsiTheme="majorBidi" w:cstheme="majorBidi"/>
                <w:sz w:val="16"/>
                <w:szCs w:val="16"/>
                <w:lang w:val="en-GB"/>
              </w:rPr>
              <w:t xml:space="preserve"> 0.28</w:t>
            </w:r>
          </w:p>
          <w:p w14:paraId="395C9F9C" w14:textId="77777777" w:rsidR="00974AA7" w:rsidRPr="001005A8" w:rsidRDefault="00974AA7" w:rsidP="00264CC3">
            <w:pPr>
              <w:jc w:val="both"/>
              <w:rPr>
                <w:rFonts w:asciiTheme="majorBidi" w:hAnsiTheme="majorBidi" w:cstheme="majorBidi"/>
                <w:sz w:val="16"/>
                <w:szCs w:val="16"/>
                <w:lang w:val="en-GB"/>
              </w:rPr>
            </w:pPr>
          </w:p>
          <w:p w14:paraId="316403CE" w14:textId="77777777" w:rsidR="00974AA7" w:rsidRPr="001005A8" w:rsidRDefault="00974AA7" w:rsidP="00264CC3">
            <w:pPr>
              <w:jc w:val="both"/>
              <w:rPr>
                <w:rFonts w:asciiTheme="majorBidi" w:hAnsiTheme="majorBidi" w:cstheme="majorBidi"/>
                <w:b/>
                <w:bCs/>
                <w:color w:val="000000"/>
                <w:sz w:val="16"/>
                <w:szCs w:val="16"/>
                <w:lang w:val="en-GB"/>
              </w:rPr>
            </w:pPr>
          </w:p>
          <w:p w14:paraId="64F2D165" w14:textId="11EA4630" w:rsidR="00974AA7" w:rsidRPr="001005A8" w:rsidRDefault="00974AA7" w:rsidP="00264CC3">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Indicator 2.2</w:t>
            </w:r>
            <w:r w:rsidRPr="001005A8">
              <w:rPr>
                <w:rFonts w:asciiTheme="majorBidi" w:hAnsiTheme="majorBidi" w:cstheme="majorBidi"/>
                <w:sz w:val="16"/>
                <w:szCs w:val="16"/>
                <w:lang w:val="en-GB"/>
              </w:rPr>
              <w:t xml:space="preserve">: </w:t>
            </w:r>
            <w:r w:rsidRPr="001005A8">
              <w:rPr>
                <w:rFonts w:asciiTheme="majorBidi" w:hAnsiTheme="majorBidi" w:cstheme="majorBidi"/>
                <w:color w:val="000000" w:themeColor="text1"/>
                <w:sz w:val="16"/>
                <w:szCs w:val="16"/>
                <w:lang w:val="en-GB"/>
              </w:rPr>
              <w:t>Tuberculosis incidence per 100,000 population.</w:t>
            </w:r>
            <w:r w:rsidRPr="001005A8">
              <w:rPr>
                <w:rFonts w:asciiTheme="majorBidi" w:hAnsiTheme="majorBidi" w:cstheme="majorBidi"/>
                <w:sz w:val="16"/>
                <w:szCs w:val="16"/>
                <w:lang w:val="en-GB"/>
              </w:rPr>
              <w:br/>
            </w:r>
            <w:r w:rsidRPr="001005A8">
              <w:rPr>
                <w:rFonts w:asciiTheme="majorBidi" w:hAnsiTheme="majorBidi" w:cstheme="majorBidi"/>
                <w:b/>
                <w:bCs/>
                <w:sz w:val="16"/>
                <w:szCs w:val="16"/>
                <w:lang w:val="en-GB"/>
              </w:rPr>
              <w:t>Baseline (2022)</w:t>
            </w:r>
            <w:r w:rsidRPr="001005A8">
              <w:rPr>
                <w:rFonts w:asciiTheme="majorBidi" w:hAnsiTheme="majorBidi" w:cstheme="majorBidi"/>
                <w:sz w:val="16"/>
                <w:szCs w:val="16"/>
                <w:lang w:val="en-GB"/>
              </w:rPr>
              <w:t>: 196.4</w:t>
            </w:r>
            <w:r w:rsidRPr="001005A8">
              <w:rPr>
                <w:rFonts w:asciiTheme="majorBidi" w:hAnsiTheme="majorBidi" w:cstheme="majorBidi"/>
                <w:sz w:val="16"/>
                <w:szCs w:val="16"/>
                <w:lang w:val="en-GB"/>
              </w:rPr>
              <w:br/>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w:t>
            </w:r>
            <w:r w:rsidRPr="001005A8">
              <w:rPr>
                <w:rFonts w:asciiTheme="majorBidi" w:hAnsiTheme="majorBidi" w:cstheme="majorBidi"/>
                <w:sz w:val="16"/>
                <w:szCs w:val="16"/>
                <w:lang w:val="en-GB"/>
              </w:rPr>
              <w:t xml:space="preserve"> </w:t>
            </w:r>
            <w:r w:rsidR="00AF6F05" w:rsidRPr="001005A8">
              <w:rPr>
                <w:rFonts w:asciiTheme="majorBidi" w:hAnsiTheme="majorBidi" w:cstheme="majorBidi"/>
                <w:sz w:val="16"/>
                <w:szCs w:val="16"/>
                <w:lang w:val="en-GB"/>
              </w:rPr>
              <w:t>TBD</w:t>
            </w:r>
          </w:p>
          <w:p w14:paraId="52580E8B" w14:textId="77777777" w:rsidR="00974AA7" w:rsidRPr="001005A8" w:rsidRDefault="00974AA7" w:rsidP="00422D51">
            <w:pPr>
              <w:rPr>
                <w:rFonts w:asciiTheme="majorBidi" w:hAnsiTheme="majorBidi" w:cstheme="majorBidi"/>
                <w:sz w:val="16"/>
                <w:szCs w:val="16"/>
                <w:lang w:val="en-GB"/>
              </w:rPr>
            </w:pPr>
          </w:p>
          <w:p w14:paraId="58B1CF6C" w14:textId="77777777" w:rsidR="00974AA7" w:rsidRPr="001005A8" w:rsidRDefault="00974AA7" w:rsidP="00422D51">
            <w:pPr>
              <w:jc w:val="both"/>
              <w:rPr>
                <w:rFonts w:asciiTheme="majorBidi" w:hAnsiTheme="majorBidi" w:cstheme="majorBidi"/>
                <w:sz w:val="16"/>
                <w:szCs w:val="16"/>
                <w:lang w:val="en-GB"/>
              </w:rPr>
            </w:pPr>
          </w:p>
        </w:tc>
        <w:tc>
          <w:tcPr>
            <w:tcW w:w="1791" w:type="dxa"/>
          </w:tcPr>
          <w:p w14:paraId="0882DB22" w14:textId="77777777" w:rsidR="00FA0250" w:rsidRPr="001005A8" w:rsidRDefault="00FA0250" w:rsidP="00FA0250">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Source:</w:t>
            </w:r>
            <w:r w:rsidRPr="001005A8">
              <w:rPr>
                <w:rFonts w:asciiTheme="majorBidi" w:hAnsiTheme="majorBidi" w:cstheme="majorBidi"/>
                <w:sz w:val="16"/>
                <w:szCs w:val="16"/>
                <w:lang w:val="en-GB"/>
              </w:rPr>
              <w:t xml:space="preserve"> MINSA, INE, UNDP, sub-recipients</w:t>
            </w:r>
          </w:p>
          <w:p w14:paraId="1F1D58A8" w14:textId="77777777" w:rsidR="00FA0250" w:rsidRPr="001005A8" w:rsidRDefault="00FA0250" w:rsidP="00FA0250">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Frequency</w:t>
            </w:r>
            <w:r w:rsidRPr="001005A8">
              <w:rPr>
                <w:rFonts w:asciiTheme="majorBidi" w:hAnsiTheme="majorBidi" w:cstheme="majorBidi"/>
                <w:sz w:val="16"/>
                <w:szCs w:val="16"/>
                <w:lang w:val="en-GB"/>
              </w:rPr>
              <w:t>: Annual</w:t>
            </w:r>
          </w:p>
          <w:p w14:paraId="43DEEC70" w14:textId="77777777" w:rsidR="00FA0250" w:rsidRPr="001005A8" w:rsidRDefault="00FA0250" w:rsidP="00FA0250">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Responsible</w:t>
            </w:r>
            <w:r w:rsidRPr="001005A8">
              <w:rPr>
                <w:rFonts w:asciiTheme="majorBidi" w:hAnsiTheme="majorBidi" w:cstheme="majorBidi"/>
                <w:sz w:val="16"/>
                <w:szCs w:val="16"/>
                <w:lang w:val="en-GB"/>
              </w:rPr>
              <w:t>: UNDP</w:t>
            </w:r>
          </w:p>
          <w:p w14:paraId="072F5FFD" w14:textId="77777777" w:rsidR="00654702" w:rsidRPr="001005A8" w:rsidRDefault="00654702" w:rsidP="00422D51">
            <w:pPr>
              <w:jc w:val="both"/>
              <w:rPr>
                <w:rFonts w:asciiTheme="majorBidi" w:hAnsiTheme="majorBidi" w:cstheme="majorBidi"/>
                <w:b/>
                <w:bCs/>
                <w:sz w:val="16"/>
                <w:szCs w:val="16"/>
                <w:lang w:val="en-GB"/>
              </w:rPr>
            </w:pPr>
          </w:p>
          <w:p w14:paraId="586C9EF3" w14:textId="77777777" w:rsidR="00654702" w:rsidRPr="001005A8" w:rsidRDefault="00654702" w:rsidP="00422D51">
            <w:pPr>
              <w:jc w:val="both"/>
              <w:rPr>
                <w:rFonts w:asciiTheme="majorBidi" w:hAnsiTheme="majorBidi" w:cstheme="majorBidi"/>
                <w:b/>
                <w:bCs/>
                <w:sz w:val="16"/>
                <w:szCs w:val="16"/>
                <w:lang w:val="en-GB"/>
              </w:rPr>
            </w:pPr>
          </w:p>
          <w:p w14:paraId="4F180EF3" w14:textId="77777777" w:rsidR="00654702" w:rsidRPr="001005A8" w:rsidRDefault="00654702" w:rsidP="00422D51">
            <w:pPr>
              <w:jc w:val="both"/>
              <w:rPr>
                <w:rFonts w:asciiTheme="majorBidi" w:hAnsiTheme="majorBidi" w:cstheme="majorBidi"/>
                <w:b/>
                <w:bCs/>
                <w:sz w:val="16"/>
                <w:szCs w:val="16"/>
                <w:lang w:val="en-GB"/>
              </w:rPr>
            </w:pPr>
          </w:p>
          <w:p w14:paraId="55D304EF" w14:textId="77777777" w:rsidR="00654702" w:rsidRPr="001005A8" w:rsidRDefault="00654702" w:rsidP="00422D51">
            <w:pPr>
              <w:jc w:val="both"/>
              <w:rPr>
                <w:rFonts w:asciiTheme="majorBidi" w:hAnsiTheme="majorBidi" w:cstheme="majorBidi"/>
                <w:b/>
                <w:bCs/>
                <w:sz w:val="16"/>
                <w:szCs w:val="16"/>
                <w:lang w:val="en-GB"/>
              </w:rPr>
            </w:pPr>
          </w:p>
          <w:p w14:paraId="386F4704" w14:textId="5D7F86B4"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Source:</w:t>
            </w:r>
            <w:r w:rsidRPr="001005A8">
              <w:rPr>
                <w:rFonts w:asciiTheme="majorBidi" w:hAnsiTheme="majorBidi" w:cstheme="majorBidi"/>
                <w:sz w:val="16"/>
                <w:szCs w:val="16"/>
                <w:lang w:val="en-GB"/>
              </w:rPr>
              <w:t xml:space="preserve"> MINSA, INE, UNDP, </w:t>
            </w:r>
            <w:r w:rsidR="00AF6F05" w:rsidRPr="001005A8">
              <w:rPr>
                <w:rFonts w:asciiTheme="majorBidi" w:hAnsiTheme="majorBidi" w:cstheme="majorBidi"/>
                <w:sz w:val="16"/>
                <w:szCs w:val="16"/>
                <w:lang w:val="en-GB"/>
              </w:rPr>
              <w:t>s</w:t>
            </w:r>
            <w:r w:rsidRPr="001005A8">
              <w:rPr>
                <w:rFonts w:asciiTheme="majorBidi" w:hAnsiTheme="majorBidi" w:cstheme="majorBidi"/>
                <w:sz w:val="16"/>
                <w:szCs w:val="16"/>
                <w:lang w:val="en-GB"/>
              </w:rPr>
              <w:t>ub</w:t>
            </w:r>
            <w:r w:rsidR="00AF6F05" w:rsidRPr="001005A8">
              <w:rPr>
                <w:rFonts w:asciiTheme="majorBidi" w:hAnsiTheme="majorBidi" w:cstheme="majorBidi"/>
                <w:sz w:val="16"/>
                <w:szCs w:val="16"/>
                <w:lang w:val="en-GB"/>
              </w:rPr>
              <w:t>-r</w:t>
            </w:r>
            <w:r w:rsidRPr="001005A8">
              <w:rPr>
                <w:rFonts w:asciiTheme="majorBidi" w:hAnsiTheme="majorBidi" w:cstheme="majorBidi"/>
                <w:sz w:val="16"/>
                <w:szCs w:val="16"/>
                <w:lang w:val="en-GB"/>
              </w:rPr>
              <w:t>ecipients</w:t>
            </w:r>
          </w:p>
          <w:p w14:paraId="200423B2" w14:textId="77777777"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Frequency</w:t>
            </w:r>
            <w:r w:rsidRPr="001005A8">
              <w:rPr>
                <w:rFonts w:asciiTheme="majorBidi" w:hAnsiTheme="majorBidi" w:cstheme="majorBidi"/>
                <w:sz w:val="16"/>
                <w:szCs w:val="16"/>
                <w:lang w:val="en-GB"/>
              </w:rPr>
              <w:t>: Annual</w:t>
            </w:r>
          </w:p>
          <w:p w14:paraId="59DA22D4" w14:textId="77777777"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Responsible</w:t>
            </w:r>
            <w:r w:rsidRPr="001005A8">
              <w:rPr>
                <w:rFonts w:asciiTheme="majorBidi" w:hAnsiTheme="majorBidi" w:cstheme="majorBidi"/>
                <w:sz w:val="16"/>
                <w:szCs w:val="16"/>
                <w:lang w:val="en-GB"/>
              </w:rPr>
              <w:t>: UNDP</w:t>
            </w:r>
          </w:p>
          <w:p w14:paraId="2076FD94" w14:textId="77777777" w:rsidR="00974AA7" w:rsidRPr="001005A8" w:rsidRDefault="00974AA7" w:rsidP="00422D51">
            <w:pPr>
              <w:jc w:val="both"/>
              <w:rPr>
                <w:rFonts w:asciiTheme="majorBidi" w:hAnsiTheme="majorBidi" w:cstheme="majorBidi"/>
                <w:sz w:val="16"/>
                <w:szCs w:val="16"/>
                <w:lang w:val="en-GB"/>
              </w:rPr>
            </w:pPr>
          </w:p>
          <w:p w14:paraId="0FEAD316" w14:textId="77777777" w:rsidR="00974AA7" w:rsidRPr="001005A8" w:rsidRDefault="00974AA7" w:rsidP="00422D51">
            <w:pPr>
              <w:jc w:val="both"/>
              <w:rPr>
                <w:rFonts w:asciiTheme="majorBidi" w:hAnsiTheme="majorBidi" w:cstheme="majorBidi"/>
                <w:sz w:val="16"/>
                <w:szCs w:val="16"/>
                <w:lang w:val="en-GB"/>
              </w:rPr>
            </w:pPr>
          </w:p>
        </w:tc>
        <w:tc>
          <w:tcPr>
            <w:tcW w:w="4779" w:type="dxa"/>
            <w:tcMar>
              <w:top w:w="72" w:type="dxa"/>
              <w:left w:w="144" w:type="dxa"/>
              <w:bottom w:w="72" w:type="dxa"/>
              <w:right w:w="144" w:type="dxa"/>
            </w:tcMar>
          </w:tcPr>
          <w:p w14:paraId="3EB0AEEF" w14:textId="137776B4" w:rsidR="00974AA7" w:rsidRPr="001005A8" w:rsidRDefault="00974AA7" w:rsidP="00422D51">
            <w:pPr>
              <w:spacing w:line="257" w:lineRule="auto"/>
              <w:jc w:val="both"/>
              <w:rPr>
                <w:rFonts w:asciiTheme="majorBidi" w:hAnsiTheme="majorBidi" w:cstheme="majorBidi"/>
                <w:b/>
                <w:bCs/>
                <w:sz w:val="16"/>
                <w:szCs w:val="16"/>
                <w:lang w:val="en-GB"/>
              </w:rPr>
            </w:pPr>
            <w:r w:rsidRPr="001005A8">
              <w:rPr>
                <w:rFonts w:asciiTheme="majorBidi" w:hAnsiTheme="majorBidi" w:cstheme="majorBidi"/>
                <w:b/>
                <w:bCs/>
                <w:sz w:val="16"/>
                <w:szCs w:val="16"/>
                <w:lang w:val="en-GB"/>
              </w:rPr>
              <w:t xml:space="preserve">Output 2.1. Access to HIV, </w:t>
            </w:r>
            <w:r w:rsidR="008B32E9" w:rsidRPr="001005A8">
              <w:rPr>
                <w:rFonts w:asciiTheme="majorBidi" w:hAnsiTheme="majorBidi" w:cstheme="majorBidi"/>
                <w:b/>
                <w:bCs/>
                <w:sz w:val="16"/>
                <w:szCs w:val="16"/>
                <w:lang w:val="en-GB"/>
              </w:rPr>
              <w:t>t</w:t>
            </w:r>
            <w:r w:rsidRPr="001005A8">
              <w:rPr>
                <w:rFonts w:asciiTheme="majorBidi" w:hAnsiTheme="majorBidi" w:cstheme="majorBidi"/>
                <w:b/>
                <w:bCs/>
                <w:sz w:val="16"/>
                <w:szCs w:val="16"/>
                <w:lang w:val="en-GB"/>
              </w:rPr>
              <w:t xml:space="preserve">uberculosis, </w:t>
            </w:r>
            <w:r w:rsidR="008B32E9" w:rsidRPr="001005A8">
              <w:rPr>
                <w:rFonts w:asciiTheme="majorBidi" w:hAnsiTheme="majorBidi" w:cstheme="majorBidi"/>
                <w:b/>
                <w:bCs/>
                <w:sz w:val="16"/>
                <w:szCs w:val="16"/>
                <w:lang w:val="en-GB"/>
              </w:rPr>
              <w:t>m</w:t>
            </w:r>
            <w:r w:rsidRPr="001005A8">
              <w:rPr>
                <w:rFonts w:asciiTheme="majorBidi" w:hAnsiTheme="majorBidi" w:cstheme="majorBidi"/>
                <w:b/>
                <w:bCs/>
                <w:sz w:val="16"/>
                <w:szCs w:val="16"/>
                <w:lang w:val="en-GB"/>
              </w:rPr>
              <w:t xml:space="preserve">alaria and </w:t>
            </w:r>
            <w:r w:rsidR="008B32E9" w:rsidRPr="001005A8">
              <w:rPr>
                <w:rFonts w:asciiTheme="majorBidi" w:hAnsiTheme="majorBidi" w:cstheme="majorBidi"/>
                <w:b/>
                <w:bCs/>
                <w:sz w:val="16"/>
                <w:szCs w:val="16"/>
                <w:lang w:val="en-GB"/>
              </w:rPr>
              <w:t>COVID</w:t>
            </w:r>
            <w:r w:rsidRPr="001005A8">
              <w:rPr>
                <w:rFonts w:asciiTheme="majorBidi" w:hAnsiTheme="majorBidi" w:cstheme="majorBidi"/>
                <w:b/>
                <w:bCs/>
                <w:sz w:val="16"/>
                <w:szCs w:val="16"/>
                <w:lang w:val="en-GB"/>
              </w:rPr>
              <w:t>-19-related services improved in selected provinces.</w:t>
            </w:r>
          </w:p>
          <w:p w14:paraId="1B33ECA8" w14:textId="77777777" w:rsidR="00974AA7" w:rsidRPr="001005A8" w:rsidRDefault="00974AA7" w:rsidP="00422D51">
            <w:pPr>
              <w:spacing w:line="257" w:lineRule="auto"/>
              <w:jc w:val="both"/>
              <w:rPr>
                <w:rFonts w:asciiTheme="majorBidi" w:hAnsiTheme="majorBidi" w:cstheme="majorBidi"/>
                <w:b/>
                <w:bCs/>
                <w:color w:val="000000" w:themeColor="text1"/>
                <w:sz w:val="16"/>
                <w:szCs w:val="16"/>
                <w:lang w:val="en-GB"/>
              </w:rPr>
            </w:pPr>
          </w:p>
          <w:p w14:paraId="320A96BD" w14:textId="2EA7F969"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2.1.1.</w:t>
            </w:r>
            <w:r w:rsidRPr="001005A8">
              <w:rPr>
                <w:rFonts w:asciiTheme="majorBidi" w:hAnsiTheme="majorBidi" w:cstheme="majorBidi"/>
                <w:color w:val="000000" w:themeColor="text1"/>
                <w:sz w:val="16"/>
                <w:szCs w:val="16"/>
                <w:lang w:val="en-GB"/>
              </w:rPr>
              <w:t xml:space="preserve"> Number of people, including key populations, receiving free preventive measures to access treatment for HIV, </w:t>
            </w:r>
            <w:r w:rsidR="008B32E9" w:rsidRPr="001005A8">
              <w:rPr>
                <w:rFonts w:asciiTheme="majorBidi" w:hAnsiTheme="majorBidi" w:cstheme="majorBidi"/>
                <w:color w:val="000000" w:themeColor="text1"/>
                <w:sz w:val="16"/>
                <w:szCs w:val="16"/>
                <w:lang w:val="en-GB"/>
              </w:rPr>
              <w:t>t</w:t>
            </w:r>
            <w:r w:rsidRPr="001005A8">
              <w:rPr>
                <w:rFonts w:asciiTheme="majorBidi" w:hAnsiTheme="majorBidi" w:cstheme="majorBidi"/>
                <w:color w:val="000000" w:themeColor="text1"/>
                <w:sz w:val="16"/>
                <w:szCs w:val="16"/>
                <w:lang w:val="en-GB"/>
              </w:rPr>
              <w:t xml:space="preserve">uberculosis, </w:t>
            </w:r>
            <w:r w:rsidR="008B32E9" w:rsidRPr="001005A8">
              <w:rPr>
                <w:rFonts w:asciiTheme="majorBidi" w:hAnsiTheme="majorBidi" w:cstheme="majorBidi"/>
                <w:color w:val="000000" w:themeColor="text1"/>
                <w:sz w:val="16"/>
                <w:szCs w:val="16"/>
                <w:lang w:val="en-GB"/>
              </w:rPr>
              <w:t>m</w:t>
            </w:r>
            <w:r w:rsidRPr="001005A8">
              <w:rPr>
                <w:rFonts w:asciiTheme="majorBidi" w:hAnsiTheme="majorBidi" w:cstheme="majorBidi"/>
                <w:color w:val="000000" w:themeColor="text1"/>
                <w:sz w:val="16"/>
                <w:szCs w:val="16"/>
                <w:lang w:val="en-GB"/>
              </w:rPr>
              <w:t xml:space="preserve">alaria and </w:t>
            </w:r>
            <w:r w:rsidR="008B32E9" w:rsidRPr="001005A8">
              <w:rPr>
                <w:rFonts w:asciiTheme="majorBidi" w:hAnsiTheme="majorBidi" w:cstheme="majorBidi"/>
                <w:color w:val="000000" w:themeColor="text1"/>
                <w:sz w:val="16"/>
                <w:szCs w:val="16"/>
                <w:lang w:val="en-GB"/>
              </w:rPr>
              <w:t>COVID</w:t>
            </w:r>
            <w:r w:rsidRPr="001005A8">
              <w:rPr>
                <w:rFonts w:asciiTheme="majorBidi" w:hAnsiTheme="majorBidi" w:cstheme="majorBidi"/>
                <w:color w:val="000000" w:themeColor="text1"/>
                <w:sz w:val="16"/>
                <w:szCs w:val="16"/>
                <w:lang w:val="en-GB"/>
              </w:rPr>
              <w:t>-19.</w:t>
            </w:r>
          </w:p>
          <w:p w14:paraId="5B45A2DB" w14:textId="77777777"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Baseline (2022):</w:t>
            </w:r>
            <w:r w:rsidRPr="001005A8">
              <w:rPr>
                <w:rFonts w:asciiTheme="majorBidi" w:hAnsiTheme="majorBidi" w:cstheme="majorBidi"/>
                <w:color w:val="000000" w:themeColor="text1"/>
                <w:sz w:val="16"/>
                <w:szCs w:val="16"/>
                <w:lang w:val="en-GB"/>
              </w:rPr>
              <w:t xml:space="preserve"> 6,316; </w:t>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 xml:space="preserve">: 26,148 (10,982 women, 4,707 adolescent girls, 7,322 men, 3,137 adolescent boys) </w:t>
            </w:r>
          </w:p>
          <w:p w14:paraId="19858F5E" w14:textId="77777777"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Data Source</w:t>
            </w:r>
            <w:r w:rsidRPr="001005A8">
              <w:rPr>
                <w:rFonts w:asciiTheme="majorBidi" w:hAnsiTheme="majorBidi" w:cstheme="majorBidi"/>
                <w:color w:val="000000" w:themeColor="text1"/>
                <w:sz w:val="16"/>
                <w:szCs w:val="16"/>
                <w:lang w:val="en-GB"/>
              </w:rPr>
              <w:t xml:space="preserve">: MINSA, UNDP; </w:t>
            </w:r>
            <w:r w:rsidRPr="001005A8">
              <w:rPr>
                <w:rFonts w:asciiTheme="majorBidi" w:hAnsiTheme="majorBidi" w:cstheme="majorBidi"/>
                <w:b/>
                <w:bCs/>
                <w:color w:val="000000" w:themeColor="text1"/>
                <w:sz w:val="16"/>
                <w:szCs w:val="16"/>
                <w:lang w:val="en-GB"/>
              </w:rPr>
              <w:t>Frequency</w:t>
            </w:r>
            <w:r w:rsidRPr="001005A8">
              <w:rPr>
                <w:rFonts w:asciiTheme="majorBidi" w:hAnsiTheme="majorBidi" w:cstheme="majorBidi"/>
                <w:color w:val="000000" w:themeColor="text1"/>
                <w:sz w:val="16"/>
                <w:szCs w:val="16"/>
                <w:lang w:val="en-GB"/>
              </w:rPr>
              <w:t>: Annual</w:t>
            </w:r>
          </w:p>
          <w:p w14:paraId="33D9BA87" w14:textId="77777777" w:rsidR="00974AA7" w:rsidRPr="001005A8" w:rsidRDefault="00974AA7" w:rsidP="00422D51">
            <w:pPr>
              <w:pStyle w:val="ListParagraph"/>
              <w:ind w:left="0"/>
              <w:jc w:val="both"/>
              <w:rPr>
                <w:rFonts w:asciiTheme="majorBidi" w:hAnsiTheme="majorBidi" w:cstheme="majorBidi"/>
                <w:b/>
                <w:bCs/>
                <w:color w:val="000000" w:themeColor="text1"/>
                <w:sz w:val="16"/>
                <w:szCs w:val="16"/>
                <w:lang w:val="en-GB"/>
              </w:rPr>
            </w:pPr>
          </w:p>
          <w:p w14:paraId="42D59B6B" w14:textId="5A3B3966" w:rsidR="00974AA7" w:rsidRPr="001005A8" w:rsidRDefault="00974AA7" w:rsidP="00422D51">
            <w:pPr>
              <w:pStyle w:val="ListParagraph"/>
              <w:ind w:left="0"/>
              <w:jc w:val="both"/>
              <w:rPr>
                <w:rFonts w:asciiTheme="majorBidi" w:hAnsiTheme="majorBidi" w:cstheme="majorBidi"/>
                <w:sz w:val="16"/>
                <w:szCs w:val="16"/>
                <w:lang w:val="en-GB"/>
              </w:rPr>
            </w:pPr>
            <w:r w:rsidRPr="001005A8">
              <w:rPr>
                <w:rFonts w:asciiTheme="majorBidi" w:hAnsiTheme="majorBidi" w:cstheme="majorBidi"/>
                <w:b/>
                <w:bCs/>
                <w:color w:val="000000" w:themeColor="text1"/>
                <w:sz w:val="16"/>
                <w:szCs w:val="16"/>
                <w:lang w:val="en-GB"/>
              </w:rPr>
              <w:t>2.1.2.</w:t>
            </w:r>
            <w:r w:rsidRPr="001005A8">
              <w:rPr>
                <w:rFonts w:asciiTheme="majorBidi" w:hAnsiTheme="majorBidi" w:cstheme="majorBidi"/>
                <w:color w:val="000000" w:themeColor="text1"/>
                <w:sz w:val="16"/>
                <w:szCs w:val="16"/>
                <w:lang w:val="en-GB"/>
              </w:rPr>
              <w:t xml:space="preserve"> Number</w:t>
            </w:r>
            <w:r w:rsidRPr="001005A8">
              <w:rPr>
                <w:rFonts w:asciiTheme="majorBidi" w:hAnsiTheme="majorBidi" w:cstheme="majorBidi"/>
                <w:sz w:val="16"/>
                <w:szCs w:val="16"/>
                <w:lang w:val="en-GB"/>
              </w:rPr>
              <w:t xml:space="preserve"> of health facilities with tracer medicines for HIV, </w:t>
            </w:r>
            <w:r w:rsidR="008B32E9" w:rsidRPr="001005A8">
              <w:rPr>
                <w:rFonts w:asciiTheme="majorBidi" w:hAnsiTheme="majorBidi" w:cstheme="majorBidi"/>
                <w:sz w:val="16"/>
                <w:szCs w:val="16"/>
                <w:lang w:val="en-GB"/>
              </w:rPr>
              <w:t>t</w:t>
            </w:r>
            <w:r w:rsidRPr="001005A8">
              <w:rPr>
                <w:rFonts w:asciiTheme="majorBidi" w:hAnsiTheme="majorBidi" w:cstheme="majorBidi"/>
                <w:sz w:val="16"/>
                <w:szCs w:val="16"/>
                <w:lang w:val="en-GB"/>
              </w:rPr>
              <w:t xml:space="preserve">uberculosis, </w:t>
            </w:r>
            <w:r w:rsidR="008B32E9" w:rsidRPr="001005A8">
              <w:rPr>
                <w:rFonts w:asciiTheme="majorBidi" w:hAnsiTheme="majorBidi" w:cstheme="majorBidi"/>
                <w:sz w:val="16"/>
                <w:szCs w:val="16"/>
                <w:lang w:val="en-GB"/>
              </w:rPr>
              <w:t>m</w:t>
            </w:r>
            <w:r w:rsidRPr="001005A8">
              <w:rPr>
                <w:rFonts w:asciiTheme="majorBidi" w:hAnsiTheme="majorBidi" w:cstheme="majorBidi"/>
                <w:sz w:val="16"/>
                <w:szCs w:val="16"/>
                <w:lang w:val="en-GB"/>
              </w:rPr>
              <w:t xml:space="preserve">alaria, and </w:t>
            </w:r>
            <w:r w:rsidR="008B32E9" w:rsidRPr="001005A8">
              <w:rPr>
                <w:rFonts w:asciiTheme="majorBidi" w:hAnsiTheme="majorBidi" w:cstheme="majorBidi"/>
                <w:sz w:val="16"/>
                <w:szCs w:val="16"/>
                <w:lang w:val="en-GB"/>
              </w:rPr>
              <w:t>COVID</w:t>
            </w:r>
            <w:r w:rsidRPr="001005A8">
              <w:rPr>
                <w:rFonts w:asciiTheme="majorBidi" w:hAnsiTheme="majorBidi" w:cstheme="majorBidi"/>
                <w:sz w:val="16"/>
                <w:szCs w:val="16"/>
                <w:lang w:val="en-GB"/>
              </w:rPr>
              <w:t>-19 available.</w:t>
            </w:r>
          </w:p>
          <w:p w14:paraId="17B83190" w14:textId="77777777" w:rsidR="00974AA7" w:rsidRPr="001005A8" w:rsidRDefault="00974AA7" w:rsidP="00422D51">
            <w:pPr>
              <w:pStyle w:val="ListParagraph"/>
              <w:ind w:left="0"/>
              <w:jc w:val="both"/>
              <w:rPr>
                <w:rFonts w:asciiTheme="majorBidi" w:hAnsiTheme="majorBidi" w:cstheme="majorBidi"/>
                <w:color w:val="000000" w:themeColor="text1"/>
                <w:sz w:val="16"/>
                <w:szCs w:val="16"/>
                <w:highlight w:val="yellow"/>
                <w:lang w:val="en-GB"/>
              </w:rPr>
            </w:pPr>
            <w:r w:rsidRPr="001005A8">
              <w:rPr>
                <w:rFonts w:asciiTheme="majorBidi" w:hAnsiTheme="majorBidi" w:cstheme="majorBidi"/>
                <w:b/>
                <w:bCs/>
                <w:color w:val="000000" w:themeColor="text1"/>
                <w:sz w:val="16"/>
                <w:szCs w:val="16"/>
                <w:lang w:val="en-GB"/>
              </w:rPr>
              <w:t>Baseline</w:t>
            </w:r>
            <w:r w:rsidRPr="001005A8">
              <w:rPr>
                <w:rFonts w:asciiTheme="majorBidi" w:hAnsiTheme="majorBidi" w:cstheme="majorBidi"/>
                <w:color w:val="000000" w:themeColor="text1"/>
                <w:sz w:val="16"/>
                <w:szCs w:val="16"/>
                <w:lang w:val="en-GB"/>
              </w:rPr>
              <w:t xml:space="preserve"> (2022): 4,102;</w:t>
            </w:r>
            <w:r w:rsidRPr="001005A8">
              <w:rPr>
                <w:rFonts w:asciiTheme="majorBidi" w:hAnsiTheme="majorBidi" w:cstheme="majorBidi"/>
                <w:b/>
                <w:bCs/>
                <w:color w:val="000000" w:themeColor="text1"/>
                <w:sz w:val="16"/>
                <w:szCs w:val="16"/>
                <w:lang w:val="en-GB"/>
              </w:rPr>
              <w:t xml:space="preserve"> Target (2028)</w:t>
            </w:r>
            <w:r w:rsidRPr="001005A8">
              <w:rPr>
                <w:rFonts w:asciiTheme="majorBidi" w:hAnsiTheme="majorBidi" w:cstheme="majorBidi"/>
                <w:color w:val="000000" w:themeColor="text1"/>
                <w:sz w:val="16"/>
                <w:szCs w:val="16"/>
                <w:lang w:val="en-GB"/>
              </w:rPr>
              <w:t>: 5,428</w:t>
            </w:r>
          </w:p>
          <w:p w14:paraId="4CD3FEC9" w14:textId="3515B7A9" w:rsidR="008B32E9"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Data Source</w:t>
            </w:r>
            <w:r w:rsidRPr="001005A8">
              <w:rPr>
                <w:rFonts w:asciiTheme="majorBidi" w:hAnsiTheme="majorBidi" w:cstheme="majorBidi"/>
                <w:color w:val="000000" w:themeColor="text1"/>
                <w:sz w:val="16"/>
                <w:szCs w:val="16"/>
                <w:lang w:val="en-GB"/>
              </w:rPr>
              <w:t xml:space="preserve">: MINSA and </w:t>
            </w:r>
            <w:r w:rsidR="008B32E9" w:rsidRPr="001005A8">
              <w:rPr>
                <w:rFonts w:asciiTheme="majorBidi" w:hAnsiTheme="majorBidi" w:cstheme="majorBidi"/>
                <w:color w:val="000000" w:themeColor="text1"/>
                <w:sz w:val="16"/>
                <w:szCs w:val="16"/>
                <w:lang w:val="en-GB"/>
              </w:rPr>
              <w:t>s</w:t>
            </w:r>
            <w:r w:rsidRPr="001005A8">
              <w:rPr>
                <w:rFonts w:asciiTheme="majorBidi" w:hAnsiTheme="majorBidi" w:cstheme="majorBidi"/>
                <w:color w:val="000000" w:themeColor="text1"/>
                <w:sz w:val="16"/>
                <w:szCs w:val="16"/>
                <w:lang w:val="en-GB"/>
              </w:rPr>
              <w:t>ub-</w:t>
            </w:r>
            <w:r w:rsidR="008B32E9" w:rsidRPr="001005A8">
              <w:rPr>
                <w:rFonts w:asciiTheme="majorBidi" w:hAnsiTheme="majorBidi" w:cstheme="majorBidi"/>
                <w:color w:val="000000" w:themeColor="text1"/>
                <w:sz w:val="16"/>
                <w:szCs w:val="16"/>
                <w:lang w:val="en-GB"/>
              </w:rPr>
              <w:t>r</w:t>
            </w:r>
            <w:r w:rsidRPr="001005A8">
              <w:rPr>
                <w:rFonts w:asciiTheme="majorBidi" w:hAnsiTheme="majorBidi" w:cstheme="majorBidi"/>
                <w:color w:val="000000" w:themeColor="text1"/>
                <w:sz w:val="16"/>
                <w:szCs w:val="16"/>
                <w:lang w:val="en-GB"/>
              </w:rPr>
              <w:t>ecipients</w:t>
            </w:r>
          </w:p>
          <w:p w14:paraId="0E44117E" w14:textId="4E83FF8A"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Frequency</w:t>
            </w:r>
            <w:r w:rsidRPr="001005A8">
              <w:rPr>
                <w:rFonts w:asciiTheme="majorBidi" w:hAnsiTheme="majorBidi" w:cstheme="majorBidi"/>
                <w:color w:val="000000" w:themeColor="text1"/>
                <w:sz w:val="16"/>
                <w:szCs w:val="16"/>
                <w:lang w:val="en-GB"/>
              </w:rPr>
              <w:t>: Annual</w:t>
            </w:r>
          </w:p>
        </w:tc>
        <w:tc>
          <w:tcPr>
            <w:tcW w:w="1980" w:type="dxa"/>
          </w:tcPr>
          <w:p w14:paraId="645FCC4A" w14:textId="73E7CB16" w:rsidR="00974AA7" w:rsidRPr="001005A8" w:rsidRDefault="00974AA7" w:rsidP="00422D51">
            <w:pPr>
              <w:jc w:val="both"/>
              <w:rPr>
                <w:rFonts w:asciiTheme="majorBidi" w:hAnsiTheme="majorBidi" w:cstheme="majorBidi"/>
                <w:color w:val="000000" w:themeColor="text1"/>
                <w:sz w:val="16"/>
                <w:szCs w:val="16"/>
                <w:lang w:val="en-GB"/>
              </w:rPr>
            </w:pPr>
            <w:r w:rsidRPr="001005A8">
              <w:rPr>
                <w:rFonts w:asciiTheme="majorBidi" w:hAnsiTheme="majorBidi" w:cstheme="majorBidi"/>
                <w:color w:val="000000" w:themeColor="text1"/>
                <w:sz w:val="16"/>
                <w:szCs w:val="16"/>
                <w:lang w:val="en-GB"/>
              </w:rPr>
              <w:t xml:space="preserve">The Global Fund, National AIDS Council, </w:t>
            </w:r>
          </w:p>
          <w:p w14:paraId="4A2D1198" w14:textId="7FE69918" w:rsidR="00974AA7" w:rsidRPr="001005A8" w:rsidRDefault="00974AA7" w:rsidP="00422D51">
            <w:pPr>
              <w:jc w:val="both"/>
              <w:rPr>
                <w:rFonts w:asciiTheme="majorBidi" w:hAnsiTheme="majorBidi" w:cstheme="majorBidi"/>
                <w:b/>
                <w:bCs/>
                <w:color w:val="000000" w:themeColor="text1"/>
                <w:sz w:val="16"/>
                <w:szCs w:val="16"/>
                <w:lang w:val="en-GB"/>
              </w:rPr>
            </w:pPr>
            <w:r w:rsidRPr="001005A8">
              <w:rPr>
                <w:rFonts w:asciiTheme="majorBidi" w:hAnsiTheme="majorBidi" w:cstheme="majorBidi"/>
                <w:color w:val="000000" w:themeColor="text1"/>
                <w:sz w:val="16"/>
                <w:szCs w:val="16"/>
                <w:lang w:val="en-GB"/>
              </w:rPr>
              <w:t xml:space="preserve">Ministry of Health (MINSA), Ministry of Justice and Human Rights (MINJUSDH), </w:t>
            </w:r>
            <w:r w:rsidR="000C3CC4" w:rsidRPr="001005A8">
              <w:rPr>
                <w:rFonts w:asciiTheme="majorBidi" w:hAnsiTheme="majorBidi" w:cstheme="majorBidi"/>
                <w:color w:val="000000" w:themeColor="text1"/>
                <w:sz w:val="16"/>
                <w:szCs w:val="16"/>
                <w:lang w:val="en-GB"/>
              </w:rPr>
              <w:t>p</w:t>
            </w:r>
            <w:r w:rsidRPr="001005A8">
              <w:rPr>
                <w:rFonts w:asciiTheme="majorBidi" w:hAnsiTheme="majorBidi" w:cstheme="majorBidi"/>
                <w:color w:val="000000" w:themeColor="text1"/>
                <w:sz w:val="16"/>
                <w:szCs w:val="16"/>
                <w:lang w:val="en-GB"/>
              </w:rPr>
              <w:t xml:space="preserve">rovincial </w:t>
            </w:r>
            <w:r w:rsidR="000C3CC4" w:rsidRPr="001005A8">
              <w:rPr>
                <w:rFonts w:asciiTheme="majorBidi" w:hAnsiTheme="majorBidi" w:cstheme="majorBidi"/>
                <w:color w:val="000000" w:themeColor="text1"/>
                <w:sz w:val="16"/>
                <w:szCs w:val="16"/>
                <w:lang w:val="en-GB"/>
              </w:rPr>
              <w:t>g</w:t>
            </w:r>
            <w:r w:rsidRPr="001005A8">
              <w:rPr>
                <w:rFonts w:asciiTheme="majorBidi" w:hAnsiTheme="majorBidi" w:cstheme="majorBidi"/>
                <w:color w:val="000000" w:themeColor="text1"/>
                <w:sz w:val="16"/>
                <w:szCs w:val="16"/>
                <w:lang w:val="en-GB"/>
              </w:rPr>
              <w:t>overnments, National Institute to Fight AIDS (INLS), EIB, World Bank, UNAIDS, WHO, CSOs.</w:t>
            </w:r>
          </w:p>
        </w:tc>
        <w:tc>
          <w:tcPr>
            <w:tcW w:w="1760" w:type="dxa"/>
            <w:tcMar>
              <w:top w:w="15" w:type="dxa"/>
              <w:left w:w="108" w:type="dxa"/>
              <w:bottom w:w="0" w:type="dxa"/>
              <w:right w:w="108" w:type="dxa"/>
            </w:tcMar>
          </w:tcPr>
          <w:p w14:paraId="3E08BE79" w14:textId="77777777" w:rsidR="00974AA7" w:rsidRPr="001005A8" w:rsidRDefault="00974AA7" w:rsidP="00422D51">
            <w:pPr>
              <w:jc w:val="both"/>
              <w:rPr>
                <w:rFonts w:asciiTheme="majorBidi" w:hAnsiTheme="majorBidi" w:cstheme="majorBidi"/>
                <w:b/>
                <w:bCs/>
                <w:sz w:val="16"/>
                <w:szCs w:val="16"/>
                <w:lang w:val="en-GB"/>
              </w:rPr>
            </w:pPr>
            <w:r w:rsidRPr="001005A8">
              <w:rPr>
                <w:rFonts w:asciiTheme="majorBidi" w:hAnsiTheme="majorBidi" w:cstheme="majorBidi"/>
                <w:b/>
                <w:bCs/>
                <w:sz w:val="16"/>
                <w:szCs w:val="16"/>
                <w:lang w:val="en-GB"/>
              </w:rPr>
              <w:t>Regular: 600</w:t>
            </w:r>
          </w:p>
          <w:p w14:paraId="70800205" w14:textId="77777777" w:rsidR="00974AA7" w:rsidRPr="001005A8" w:rsidRDefault="00974AA7" w:rsidP="00422D51">
            <w:pPr>
              <w:jc w:val="both"/>
              <w:rPr>
                <w:rFonts w:asciiTheme="majorBidi" w:hAnsiTheme="majorBidi" w:cstheme="majorBidi"/>
                <w:b/>
                <w:bCs/>
                <w:sz w:val="16"/>
                <w:szCs w:val="16"/>
                <w:lang w:val="en-GB"/>
              </w:rPr>
            </w:pPr>
          </w:p>
          <w:p w14:paraId="79DA6064" w14:textId="77777777"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Other: 173,893</w:t>
            </w:r>
          </w:p>
        </w:tc>
      </w:tr>
      <w:tr w:rsidR="00974AA7" w:rsidRPr="001005A8" w14:paraId="4176C666" w14:textId="77777777" w:rsidTr="0064612E">
        <w:trPr>
          <w:trHeight w:val="2251"/>
        </w:trPr>
        <w:tc>
          <w:tcPr>
            <w:tcW w:w="2785" w:type="dxa"/>
            <w:tcMar>
              <w:top w:w="72" w:type="dxa"/>
              <w:left w:w="144" w:type="dxa"/>
              <w:bottom w:w="72" w:type="dxa"/>
              <w:right w:w="144" w:type="dxa"/>
            </w:tcMar>
          </w:tcPr>
          <w:p w14:paraId="1F207524" w14:textId="5A85D1D4"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lastRenderedPageBreak/>
              <w:t>Indicator 2.3</w:t>
            </w:r>
            <w:r w:rsidR="008B32E9" w:rsidRPr="001005A8">
              <w:rPr>
                <w:rFonts w:asciiTheme="majorBidi" w:hAnsiTheme="majorBidi" w:cstheme="majorBidi"/>
                <w:sz w:val="16"/>
                <w:szCs w:val="16"/>
                <w:lang w:val="en-GB"/>
              </w:rPr>
              <w:t>.</w:t>
            </w:r>
            <w:r w:rsidRPr="001005A8">
              <w:rPr>
                <w:rFonts w:asciiTheme="majorBidi" w:hAnsiTheme="majorBidi" w:cstheme="majorBidi"/>
                <w:sz w:val="16"/>
                <w:szCs w:val="16"/>
                <w:lang w:val="en-GB"/>
              </w:rPr>
              <w:t xml:space="preserve"> </w:t>
            </w:r>
            <w:r w:rsidRPr="001005A8">
              <w:rPr>
                <w:rFonts w:asciiTheme="majorBidi" w:hAnsiTheme="majorBidi" w:cstheme="majorBidi"/>
                <w:color w:val="000000" w:themeColor="text1"/>
                <w:sz w:val="16"/>
                <w:szCs w:val="16"/>
                <w:lang w:val="en-GB"/>
              </w:rPr>
              <w:t xml:space="preserve">Malaria incidence per 1,000 population. </w:t>
            </w:r>
          </w:p>
          <w:p w14:paraId="3B3AAA1D" w14:textId="77777777"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Baseline (2022)</w:t>
            </w:r>
            <w:r w:rsidRPr="001005A8">
              <w:rPr>
                <w:rFonts w:asciiTheme="majorBidi" w:hAnsiTheme="majorBidi" w:cstheme="majorBidi"/>
                <w:sz w:val="16"/>
                <w:szCs w:val="16"/>
                <w:lang w:val="en-GB"/>
              </w:rPr>
              <w:t>: 279</w:t>
            </w:r>
          </w:p>
          <w:p w14:paraId="549CF1AD" w14:textId="77777777"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w:t>
            </w:r>
            <w:r w:rsidRPr="001005A8">
              <w:rPr>
                <w:rFonts w:asciiTheme="majorBidi" w:hAnsiTheme="majorBidi" w:cstheme="majorBidi"/>
                <w:sz w:val="16"/>
                <w:szCs w:val="16"/>
                <w:lang w:val="en-GB"/>
              </w:rPr>
              <w:t xml:space="preserve"> 215</w:t>
            </w:r>
          </w:p>
          <w:p w14:paraId="5734682F" w14:textId="77777777" w:rsidR="00974AA7" w:rsidRPr="001005A8" w:rsidRDefault="00974AA7" w:rsidP="00422D51">
            <w:pPr>
              <w:jc w:val="both"/>
              <w:rPr>
                <w:rFonts w:asciiTheme="majorBidi" w:hAnsiTheme="majorBidi" w:cstheme="majorBidi"/>
                <w:sz w:val="16"/>
                <w:szCs w:val="16"/>
                <w:lang w:val="en-GB"/>
              </w:rPr>
            </w:pPr>
          </w:p>
          <w:p w14:paraId="4A676318" w14:textId="77777777" w:rsidR="0064612E" w:rsidRPr="001005A8" w:rsidRDefault="0064612E" w:rsidP="00422D51">
            <w:pPr>
              <w:jc w:val="both"/>
              <w:rPr>
                <w:rFonts w:asciiTheme="majorBidi" w:hAnsiTheme="majorBidi" w:cstheme="majorBidi"/>
                <w:sz w:val="16"/>
                <w:szCs w:val="16"/>
                <w:lang w:val="en-GB"/>
              </w:rPr>
            </w:pPr>
          </w:p>
          <w:p w14:paraId="7E091C15" w14:textId="77777777" w:rsidR="00974AA7" w:rsidRPr="001005A8" w:rsidRDefault="00974AA7" w:rsidP="00422D51">
            <w:pPr>
              <w:rPr>
                <w:rFonts w:asciiTheme="majorBidi" w:hAnsiTheme="majorBidi" w:cstheme="majorBidi"/>
                <w:sz w:val="16"/>
                <w:szCs w:val="16"/>
                <w:lang w:val="en-GB"/>
              </w:rPr>
            </w:pPr>
            <w:r w:rsidRPr="001005A8">
              <w:rPr>
                <w:rFonts w:asciiTheme="majorBidi" w:hAnsiTheme="majorBidi" w:cstheme="majorBidi"/>
                <w:b/>
                <w:bCs/>
                <w:sz w:val="16"/>
                <w:szCs w:val="16"/>
                <w:lang w:val="en-GB"/>
              </w:rPr>
              <w:t>Indicator 2.4</w:t>
            </w:r>
            <w:r w:rsidR="008B32E9" w:rsidRPr="001005A8">
              <w:rPr>
                <w:rFonts w:asciiTheme="majorBidi" w:hAnsiTheme="majorBidi" w:cstheme="majorBidi"/>
                <w:sz w:val="16"/>
                <w:szCs w:val="16"/>
                <w:lang w:val="en-GB"/>
              </w:rPr>
              <w:t>.</w:t>
            </w:r>
            <w:r w:rsidRPr="001005A8">
              <w:rPr>
                <w:rFonts w:asciiTheme="majorBidi" w:hAnsiTheme="majorBidi" w:cstheme="majorBidi"/>
                <w:sz w:val="16"/>
                <w:szCs w:val="16"/>
                <w:lang w:val="en-GB"/>
              </w:rPr>
              <w:t xml:space="preserve"> </w:t>
            </w:r>
            <w:r w:rsidRPr="001005A8">
              <w:rPr>
                <w:rFonts w:asciiTheme="majorBidi" w:hAnsiTheme="majorBidi" w:cstheme="majorBidi"/>
                <w:color w:val="000000" w:themeColor="text1"/>
                <w:sz w:val="16"/>
                <w:szCs w:val="16"/>
                <w:lang w:val="en-GB"/>
              </w:rPr>
              <w:t>Proportion of men, women and children of all ages living in poverty in all its dimensions according to national definitions.</w:t>
            </w:r>
            <w:r w:rsidRPr="001005A8">
              <w:rPr>
                <w:rFonts w:asciiTheme="majorBidi" w:hAnsiTheme="majorBidi" w:cstheme="majorBidi"/>
                <w:sz w:val="16"/>
                <w:szCs w:val="16"/>
                <w:lang w:val="en-GB"/>
              </w:rPr>
              <w:br/>
            </w:r>
            <w:r w:rsidRPr="001005A8">
              <w:rPr>
                <w:rFonts w:asciiTheme="majorBidi" w:hAnsiTheme="majorBidi" w:cstheme="majorBidi"/>
                <w:b/>
                <w:bCs/>
                <w:sz w:val="16"/>
                <w:szCs w:val="16"/>
                <w:lang w:val="en-GB"/>
              </w:rPr>
              <w:t>Baseline (2016</w:t>
            </w:r>
            <w:r w:rsidRPr="001005A8">
              <w:rPr>
                <w:rStyle w:val="FootnoteReference"/>
                <w:rFonts w:asciiTheme="majorBidi" w:hAnsiTheme="majorBidi"/>
                <w:b/>
                <w:bCs/>
                <w:sz w:val="16"/>
                <w:szCs w:val="16"/>
                <w:lang w:val="en-GB"/>
              </w:rPr>
              <w:footnoteReference w:id="22"/>
            </w:r>
            <w:r w:rsidRPr="001005A8">
              <w:rPr>
                <w:rFonts w:asciiTheme="majorBidi" w:hAnsiTheme="majorBidi" w:cstheme="majorBidi"/>
                <w:b/>
                <w:bCs/>
                <w:sz w:val="16"/>
                <w:szCs w:val="16"/>
                <w:lang w:val="en-GB"/>
              </w:rPr>
              <w:t>)</w:t>
            </w:r>
            <w:r w:rsidRPr="001005A8">
              <w:rPr>
                <w:rFonts w:asciiTheme="majorBidi" w:hAnsiTheme="majorBidi" w:cstheme="majorBidi"/>
                <w:sz w:val="16"/>
                <w:szCs w:val="16"/>
                <w:lang w:val="en-GB"/>
              </w:rPr>
              <w:t>: 54</w:t>
            </w:r>
            <w:r w:rsidR="008B32E9" w:rsidRPr="001005A8">
              <w:rPr>
                <w:rFonts w:asciiTheme="majorBidi" w:hAnsiTheme="majorBidi" w:cstheme="majorBidi"/>
                <w:sz w:val="16"/>
                <w:szCs w:val="16"/>
                <w:lang w:val="en-GB"/>
              </w:rPr>
              <w:t>%</w:t>
            </w:r>
            <w:r w:rsidRPr="001005A8">
              <w:rPr>
                <w:rFonts w:asciiTheme="majorBidi" w:hAnsiTheme="majorBidi" w:cstheme="majorBidi"/>
                <w:sz w:val="16"/>
                <w:szCs w:val="16"/>
                <w:lang w:val="en-GB"/>
              </w:rPr>
              <w:t>, national level (urban areas: 35.0%; rural areas: 87.8%; male-headed households: 53.5%; female-headed households: 55.2%)</w:t>
            </w:r>
            <w:r w:rsidRPr="001005A8">
              <w:rPr>
                <w:rFonts w:asciiTheme="majorBidi" w:hAnsiTheme="majorBidi" w:cstheme="majorBidi"/>
                <w:sz w:val="16"/>
                <w:szCs w:val="16"/>
                <w:lang w:val="en-GB"/>
              </w:rPr>
              <w:br/>
            </w:r>
            <w:r w:rsidRPr="001005A8">
              <w:rPr>
                <w:rFonts w:asciiTheme="majorBidi" w:hAnsiTheme="majorBidi" w:cstheme="majorBidi"/>
                <w:b/>
                <w:bCs/>
                <w:color w:val="000000" w:themeColor="text1"/>
                <w:sz w:val="16"/>
                <w:szCs w:val="16"/>
                <w:lang w:val="en-GB"/>
              </w:rPr>
              <w:t>Target (2030)</w:t>
            </w:r>
            <w:r w:rsidRPr="001005A8">
              <w:rPr>
                <w:rFonts w:asciiTheme="majorBidi" w:hAnsiTheme="majorBidi" w:cstheme="majorBidi"/>
                <w:color w:val="000000" w:themeColor="text1"/>
                <w:sz w:val="16"/>
                <w:szCs w:val="16"/>
                <w:lang w:val="en-GB"/>
              </w:rPr>
              <w:t>:</w:t>
            </w:r>
            <w:r w:rsidRPr="001005A8">
              <w:rPr>
                <w:rFonts w:asciiTheme="majorBidi" w:hAnsiTheme="majorBidi" w:cstheme="majorBidi"/>
                <w:sz w:val="16"/>
                <w:szCs w:val="16"/>
                <w:lang w:val="en-GB"/>
              </w:rPr>
              <w:t xml:space="preserve"> 27</w:t>
            </w:r>
            <w:r w:rsidR="00AF6F05" w:rsidRPr="001005A8">
              <w:rPr>
                <w:rFonts w:asciiTheme="majorBidi" w:hAnsiTheme="majorBidi" w:cstheme="majorBidi"/>
                <w:sz w:val="16"/>
                <w:szCs w:val="16"/>
                <w:lang w:val="en-GB"/>
              </w:rPr>
              <w:t xml:space="preserve">% </w:t>
            </w:r>
            <w:r w:rsidRPr="001005A8">
              <w:rPr>
                <w:rFonts w:asciiTheme="majorBidi" w:hAnsiTheme="majorBidi" w:cstheme="majorBidi"/>
                <w:sz w:val="16"/>
                <w:szCs w:val="16"/>
                <w:lang w:val="en-GB"/>
              </w:rPr>
              <w:t>(national level)</w:t>
            </w:r>
          </w:p>
          <w:p w14:paraId="108DBA2E" w14:textId="29090683" w:rsidR="0064612E" w:rsidRPr="001005A8" w:rsidRDefault="0064612E" w:rsidP="00422D51">
            <w:pPr>
              <w:rPr>
                <w:rFonts w:asciiTheme="majorBidi" w:hAnsiTheme="majorBidi" w:cstheme="majorBidi"/>
                <w:b/>
                <w:bCs/>
                <w:color w:val="FF0000"/>
                <w:sz w:val="16"/>
                <w:szCs w:val="16"/>
                <w:lang w:val="en-GB"/>
              </w:rPr>
            </w:pPr>
          </w:p>
        </w:tc>
        <w:tc>
          <w:tcPr>
            <w:tcW w:w="1791" w:type="dxa"/>
          </w:tcPr>
          <w:p w14:paraId="5D6CD365" w14:textId="77777777" w:rsidR="00FA0250" w:rsidRPr="001005A8" w:rsidRDefault="00FA0250" w:rsidP="00FA0250">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Source</w:t>
            </w:r>
            <w:r w:rsidRPr="001005A8">
              <w:rPr>
                <w:rFonts w:asciiTheme="majorBidi" w:hAnsiTheme="majorBidi" w:cstheme="majorBidi"/>
                <w:sz w:val="16"/>
                <w:szCs w:val="16"/>
                <w:lang w:val="en-GB"/>
              </w:rPr>
              <w:t>: MINSA</w:t>
            </w:r>
          </w:p>
          <w:p w14:paraId="32F6AA46" w14:textId="77777777" w:rsidR="00FA0250" w:rsidRPr="001005A8" w:rsidRDefault="00FA0250" w:rsidP="00FA0250">
            <w:pPr>
              <w:jc w:val="both"/>
              <w:rPr>
                <w:rFonts w:asciiTheme="majorBidi" w:hAnsiTheme="majorBidi" w:cstheme="majorBidi"/>
                <w:b/>
                <w:bCs/>
                <w:sz w:val="16"/>
                <w:szCs w:val="16"/>
                <w:lang w:val="en-GB"/>
              </w:rPr>
            </w:pPr>
            <w:r w:rsidRPr="001005A8">
              <w:rPr>
                <w:rFonts w:asciiTheme="majorBidi" w:hAnsiTheme="majorBidi" w:cstheme="majorBidi"/>
                <w:b/>
                <w:bCs/>
                <w:sz w:val="16"/>
                <w:szCs w:val="16"/>
                <w:lang w:val="en-GB"/>
              </w:rPr>
              <w:t>Frequency</w:t>
            </w:r>
            <w:r w:rsidRPr="001005A8">
              <w:rPr>
                <w:rFonts w:asciiTheme="majorBidi" w:hAnsiTheme="majorBidi" w:cstheme="majorBidi"/>
                <w:sz w:val="16"/>
                <w:szCs w:val="16"/>
                <w:lang w:val="en-GB"/>
              </w:rPr>
              <w:t>: Annual</w:t>
            </w:r>
          </w:p>
          <w:p w14:paraId="78FA5C5C" w14:textId="6EE99C14" w:rsidR="00654702" w:rsidRPr="001005A8" w:rsidRDefault="00FA0250" w:rsidP="00FA0250">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Responsible</w:t>
            </w:r>
            <w:r w:rsidRPr="001005A8">
              <w:rPr>
                <w:rFonts w:asciiTheme="majorBidi" w:hAnsiTheme="majorBidi" w:cstheme="majorBidi"/>
                <w:sz w:val="16"/>
                <w:szCs w:val="16"/>
                <w:lang w:val="en-GB"/>
              </w:rPr>
              <w:t>: UNDP</w:t>
            </w:r>
          </w:p>
          <w:p w14:paraId="3813EDD8" w14:textId="77777777" w:rsidR="00654702" w:rsidRPr="001005A8" w:rsidRDefault="00654702" w:rsidP="00FA0250">
            <w:pPr>
              <w:jc w:val="both"/>
              <w:rPr>
                <w:rFonts w:asciiTheme="majorBidi" w:hAnsiTheme="majorBidi" w:cstheme="majorBidi"/>
                <w:sz w:val="16"/>
                <w:szCs w:val="16"/>
                <w:lang w:val="en-GB"/>
              </w:rPr>
            </w:pPr>
          </w:p>
          <w:p w14:paraId="1C7026CE" w14:textId="77777777" w:rsidR="00654702" w:rsidRPr="001005A8" w:rsidRDefault="00654702" w:rsidP="00FA0250">
            <w:pPr>
              <w:jc w:val="both"/>
              <w:rPr>
                <w:rFonts w:asciiTheme="majorBidi" w:hAnsiTheme="majorBidi" w:cstheme="majorBidi"/>
                <w:sz w:val="16"/>
                <w:szCs w:val="16"/>
                <w:lang w:val="en-GB"/>
              </w:rPr>
            </w:pPr>
          </w:p>
          <w:p w14:paraId="684586C0" w14:textId="77777777" w:rsidR="00654702" w:rsidRPr="001005A8" w:rsidRDefault="00654702" w:rsidP="00FA0250">
            <w:pPr>
              <w:jc w:val="both"/>
              <w:rPr>
                <w:rFonts w:asciiTheme="majorBidi" w:hAnsiTheme="majorBidi" w:cstheme="majorBidi"/>
                <w:b/>
                <w:bCs/>
                <w:sz w:val="16"/>
                <w:szCs w:val="16"/>
                <w:lang w:val="en-GB"/>
              </w:rPr>
            </w:pPr>
          </w:p>
          <w:p w14:paraId="282C27CA" w14:textId="25B0FF84"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Source</w:t>
            </w:r>
            <w:r w:rsidRPr="001005A8">
              <w:rPr>
                <w:rFonts w:asciiTheme="majorBidi" w:hAnsiTheme="majorBidi" w:cstheme="majorBidi"/>
                <w:sz w:val="16"/>
                <w:szCs w:val="16"/>
                <w:lang w:val="en-GB"/>
              </w:rPr>
              <w:t>: MINSA</w:t>
            </w:r>
          </w:p>
          <w:p w14:paraId="40FF493F" w14:textId="77777777" w:rsidR="00974AA7" w:rsidRPr="001005A8" w:rsidRDefault="00974AA7" w:rsidP="00422D51">
            <w:pPr>
              <w:jc w:val="both"/>
              <w:rPr>
                <w:rFonts w:asciiTheme="majorBidi" w:hAnsiTheme="majorBidi" w:cstheme="majorBidi"/>
                <w:b/>
                <w:bCs/>
                <w:sz w:val="16"/>
                <w:szCs w:val="16"/>
                <w:lang w:val="en-GB"/>
              </w:rPr>
            </w:pPr>
            <w:r w:rsidRPr="001005A8">
              <w:rPr>
                <w:rFonts w:asciiTheme="majorBidi" w:hAnsiTheme="majorBidi" w:cstheme="majorBidi"/>
                <w:b/>
                <w:bCs/>
                <w:sz w:val="16"/>
                <w:szCs w:val="16"/>
                <w:lang w:val="en-GB"/>
              </w:rPr>
              <w:t>Frequency</w:t>
            </w:r>
            <w:r w:rsidRPr="001005A8">
              <w:rPr>
                <w:rFonts w:asciiTheme="majorBidi" w:hAnsiTheme="majorBidi" w:cstheme="majorBidi"/>
                <w:sz w:val="16"/>
                <w:szCs w:val="16"/>
                <w:lang w:val="en-GB"/>
              </w:rPr>
              <w:t>: Annual</w:t>
            </w:r>
          </w:p>
          <w:p w14:paraId="1CA9E010" w14:textId="77777777" w:rsidR="00974AA7" w:rsidRPr="001005A8" w:rsidRDefault="00974AA7" w:rsidP="00422D51">
            <w:pPr>
              <w:jc w:val="both"/>
              <w:rPr>
                <w:rFonts w:asciiTheme="majorBidi" w:hAnsiTheme="majorBidi" w:cstheme="majorBidi"/>
                <w:b/>
                <w:bCs/>
                <w:sz w:val="16"/>
                <w:szCs w:val="16"/>
                <w:lang w:val="en-GB"/>
              </w:rPr>
            </w:pPr>
            <w:r w:rsidRPr="001005A8">
              <w:rPr>
                <w:rFonts w:asciiTheme="majorBidi" w:hAnsiTheme="majorBidi" w:cstheme="majorBidi"/>
                <w:b/>
                <w:bCs/>
                <w:sz w:val="16"/>
                <w:szCs w:val="16"/>
                <w:lang w:val="en-GB"/>
              </w:rPr>
              <w:t>Responsible</w:t>
            </w:r>
            <w:r w:rsidRPr="001005A8">
              <w:rPr>
                <w:rFonts w:asciiTheme="majorBidi" w:hAnsiTheme="majorBidi" w:cstheme="majorBidi"/>
                <w:sz w:val="16"/>
                <w:szCs w:val="16"/>
                <w:lang w:val="en-GB"/>
              </w:rPr>
              <w:t>: UNDP</w:t>
            </w:r>
          </w:p>
        </w:tc>
        <w:tc>
          <w:tcPr>
            <w:tcW w:w="4779" w:type="dxa"/>
            <w:tcMar>
              <w:top w:w="72" w:type="dxa"/>
              <w:left w:w="144" w:type="dxa"/>
              <w:bottom w:w="72" w:type="dxa"/>
              <w:right w:w="144" w:type="dxa"/>
            </w:tcMar>
          </w:tcPr>
          <w:p w14:paraId="3C05880D" w14:textId="77777777" w:rsidR="00974AA7" w:rsidRPr="001005A8" w:rsidRDefault="00974AA7" w:rsidP="00422D51">
            <w:pPr>
              <w:jc w:val="both"/>
              <w:rPr>
                <w:rFonts w:asciiTheme="majorBidi" w:hAnsiTheme="majorBidi" w:cstheme="majorBidi"/>
                <w:b/>
                <w:bCs/>
                <w:color w:val="000000" w:themeColor="text1"/>
                <w:sz w:val="16"/>
                <w:szCs w:val="16"/>
                <w:lang w:val="en-GB"/>
              </w:rPr>
            </w:pPr>
            <w:r w:rsidRPr="001005A8">
              <w:rPr>
                <w:rFonts w:asciiTheme="majorBidi" w:hAnsiTheme="majorBidi" w:cstheme="majorBidi"/>
                <w:b/>
                <w:bCs/>
                <w:color w:val="000000" w:themeColor="text1"/>
                <w:sz w:val="16"/>
                <w:szCs w:val="16"/>
                <w:lang w:val="en-GB"/>
              </w:rPr>
              <w:t>Output 2.2. Technical and human capacity of national and local institutions enhanced to provide efficient, innovative and inclusive health services and health digital solutions.</w:t>
            </w:r>
          </w:p>
          <w:p w14:paraId="3B412414" w14:textId="77777777" w:rsidR="00974AA7" w:rsidRPr="001005A8" w:rsidRDefault="00974AA7" w:rsidP="00422D51">
            <w:pPr>
              <w:jc w:val="both"/>
              <w:rPr>
                <w:rFonts w:asciiTheme="majorBidi" w:hAnsiTheme="majorBidi" w:cstheme="majorBidi"/>
                <w:b/>
                <w:bCs/>
                <w:color w:val="000000" w:themeColor="text1"/>
                <w:sz w:val="16"/>
                <w:szCs w:val="16"/>
                <w:lang w:val="en-GB"/>
              </w:rPr>
            </w:pPr>
          </w:p>
          <w:p w14:paraId="4D11E670" w14:textId="7B353BAA"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2.2.1.</w:t>
            </w:r>
            <w:r w:rsidRPr="001005A8">
              <w:rPr>
                <w:rFonts w:asciiTheme="majorBidi" w:hAnsiTheme="majorBidi" w:cstheme="majorBidi"/>
                <w:color w:val="000000" w:themeColor="text1"/>
                <w:sz w:val="16"/>
                <w:szCs w:val="16"/>
                <w:lang w:val="en-GB"/>
              </w:rPr>
              <w:t xml:space="preserve"> Number of health personnel, including community health workers, with enhanced skills to improve HIV, </w:t>
            </w:r>
            <w:r w:rsidR="008B32E9" w:rsidRPr="001005A8">
              <w:rPr>
                <w:rFonts w:asciiTheme="majorBidi" w:hAnsiTheme="majorBidi" w:cstheme="majorBidi"/>
                <w:color w:val="000000" w:themeColor="text1"/>
                <w:sz w:val="16"/>
                <w:szCs w:val="16"/>
                <w:lang w:val="en-GB"/>
              </w:rPr>
              <w:t>t</w:t>
            </w:r>
            <w:r w:rsidRPr="001005A8">
              <w:rPr>
                <w:rFonts w:asciiTheme="majorBidi" w:hAnsiTheme="majorBidi" w:cstheme="majorBidi"/>
                <w:color w:val="000000" w:themeColor="text1"/>
                <w:sz w:val="16"/>
                <w:szCs w:val="16"/>
                <w:lang w:val="en-GB"/>
              </w:rPr>
              <w:t xml:space="preserve">uberculosis, </w:t>
            </w:r>
            <w:r w:rsidR="008B32E9" w:rsidRPr="001005A8">
              <w:rPr>
                <w:rFonts w:asciiTheme="majorBidi" w:hAnsiTheme="majorBidi" w:cstheme="majorBidi"/>
                <w:color w:val="000000" w:themeColor="text1"/>
                <w:sz w:val="16"/>
                <w:szCs w:val="16"/>
                <w:lang w:val="en-GB"/>
              </w:rPr>
              <w:t>m</w:t>
            </w:r>
            <w:r w:rsidRPr="001005A8">
              <w:rPr>
                <w:rFonts w:asciiTheme="majorBidi" w:hAnsiTheme="majorBidi" w:cstheme="majorBidi"/>
                <w:color w:val="000000" w:themeColor="text1"/>
                <w:sz w:val="16"/>
                <w:szCs w:val="16"/>
                <w:lang w:val="en-GB"/>
              </w:rPr>
              <w:t xml:space="preserve">alaria and </w:t>
            </w:r>
            <w:r w:rsidR="008B32E9" w:rsidRPr="001005A8">
              <w:rPr>
                <w:rFonts w:asciiTheme="majorBidi" w:hAnsiTheme="majorBidi" w:cstheme="majorBidi"/>
                <w:color w:val="000000" w:themeColor="text1"/>
                <w:sz w:val="16"/>
                <w:szCs w:val="16"/>
                <w:lang w:val="en-GB"/>
              </w:rPr>
              <w:t>COVID</w:t>
            </w:r>
            <w:r w:rsidRPr="001005A8">
              <w:rPr>
                <w:rFonts w:asciiTheme="majorBidi" w:hAnsiTheme="majorBidi" w:cstheme="majorBidi"/>
                <w:color w:val="000000" w:themeColor="text1"/>
                <w:sz w:val="16"/>
                <w:szCs w:val="16"/>
                <w:lang w:val="en-GB"/>
              </w:rPr>
              <w:t>-19-related services management.</w:t>
            </w:r>
          </w:p>
          <w:p w14:paraId="42C221FE" w14:textId="77777777" w:rsidR="00974AA7" w:rsidRPr="001005A8" w:rsidRDefault="00974AA7" w:rsidP="00422D51">
            <w:pPr>
              <w:pStyle w:val="ListParagraph"/>
              <w:ind w:left="0"/>
              <w:jc w:val="both"/>
              <w:rPr>
                <w:rFonts w:asciiTheme="majorBidi" w:hAnsiTheme="majorBidi" w:cstheme="majorBidi"/>
                <w:sz w:val="16"/>
                <w:szCs w:val="16"/>
                <w:lang w:val="en-GB"/>
              </w:rPr>
            </w:pPr>
            <w:r w:rsidRPr="001005A8">
              <w:rPr>
                <w:rFonts w:asciiTheme="majorBidi" w:hAnsiTheme="majorBidi" w:cstheme="majorBidi"/>
                <w:b/>
                <w:bCs/>
                <w:color w:val="000000" w:themeColor="text1"/>
                <w:sz w:val="16"/>
                <w:szCs w:val="16"/>
                <w:lang w:val="en-GB"/>
              </w:rPr>
              <w:t>Baseline (2022)</w:t>
            </w:r>
            <w:r w:rsidRPr="001005A8">
              <w:rPr>
                <w:rFonts w:asciiTheme="majorBidi" w:hAnsiTheme="majorBidi" w:cstheme="majorBidi"/>
                <w:color w:val="000000" w:themeColor="text1"/>
                <w:sz w:val="16"/>
                <w:szCs w:val="16"/>
                <w:lang w:val="en-GB"/>
              </w:rPr>
              <w:t xml:space="preserve">: 3,064; </w:t>
            </w:r>
            <w:r w:rsidRPr="001005A8">
              <w:rPr>
                <w:rFonts w:asciiTheme="majorBidi" w:hAnsiTheme="majorBidi" w:cstheme="majorBidi"/>
                <w:b/>
                <w:bCs/>
                <w:color w:val="000000" w:themeColor="text1"/>
                <w:sz w:val="16"/>
                <w:szCs w:val="16"/>
                <w:lang w:val="en-GB"/>
              </w:rPr>
              <w:t>Target (2028)</w:t>
            </w:r>
            <w:r w:rsidRPr="001005A8">
              <w:rPr>
                <w:rFonts w:asciiTheme="majorBidi" w:eastAsia="Calibri" w:hAnsiTheme="majorBidi" w:cstheme="majorBidi"/>
                <w:sz w:val="16"/>
                <w:szCs w:val="16"/>
                <w:lang w:val="en-GB"/>
              </w:rPr>
              <w:t>: 5,819</w:t>
            </w:r>
            <w:r w:rsidRPr="001005A8">
              <w:rPr>
                <w:rFonts w:asciiTheme="majorBidi" w:hAnsiTheme="majorBidi" w:cstheme="majorBidi"/>
                <w:sz w:val="16"/>
                <w:szCs w:val="16"/>
                <w:lang w:val="en-GB"/>
              </w:rPr>
              <w:t xml:space="preserve"> (3,492 women, 2,327 men)</w:t>
            </w:r>
          </w:p>
          <w:p w14:paraId="2C9ED5CE" w14:textId="77777777"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p>
          <w:p w14:paraId="647D1314" w14:textId="77777777"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2.2.2.</w:t>
            </w:r>
            <w:r w:rsidRPr="001005A8">
              <w:rPr>
                <w:rFonts w:asciiTheme="majorBidi" w:hAnsiTheme="majorBidi" w:cstheme="majorBidi"/>
                <w:color w:val="000000" w:themeColor="text1"/>
                <w:sz w:val="16"/>
                <w:szCs w:val="16"/>
                <w:lang w:val="en-GB"/>
              </w:rPr>
              <w:t xml:space="preserve"> Extent to which an online logistics information management platform is functional for the effective management of the health products supply chain.</w:t>
            </w:r>
          </w:p>
          <w:p w14:paraId="2D51DEE7" w14:textId="77777777"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Baseline (2022)</w:t>
            </w:r>
            <w:r w:rsidRPr="001005A8">
              <w:rPr>
                <w:rFonts w:asciiTheme="majorBidi" w:hAnsiTheme="majorBidi" w:cstheme="majorBidi"/>
                <w:color w:val="000000" w:themeColor="text1"/>
                <w:sz w:val="16"/>
                <w:szCs w:val="16"/>
                <w:lang w:val="en-GB"/>
              </w:rPr>
              <w:t xml:space="preserve">: 1. Not established; </w:t>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 3. Fully functional.</w:t>
            </w:r>
          </w:p>
          <w:p w14:paraId="23CC7E30" w14:textId="55CE1B9D" w:rsidR="008B32E9" w:rsidRPr="001005A8" w:rsidRDefault="00974AA7" w:rsidP="00422D51">
            <w:pPr>
              <w:spacing w:line="257" w:lineRule="auto"/>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Data Source</w:t>
            </w:r>
            <w:r w:rsidRPr="001005A8">
              <w:rPr>
                <w:rFonts w:asciiTheme="majorBidi" w:hAnsiTheme="majorBidi" w:cstheme="majorBidi"/>
                <w:color w:val="000000" w:themeColor="text1"/>
                <w:sz w:val="16"/>
                <w:szCs w:val="16"/>
                <w:lang w:val="en-GB"/>
              </w:rPr>
              <w:t xml:space="preserve">: MINSA </w:t>
            </w:r>
          </w:p>
          <w:p w14:paraId="38E10854" w14:textId="01C2A8A5" w:rsidR="00974AA7" w:rsidRPr="001005A8" w:rsidRDefault="00974AA7" w:rsidP="00422D51">
            <w:pPr>
              <w:spacing w:line="257" w:lineRule="auto"/>
              <w:jc w:val="both"/>
              <w:rPr>
                <w:rFonts w:asciiTheme="majorBidi" w:hAnsiTheme="majorBidi" w:cstheme="majorBidi"/>
                <w:b/>
                <w:bCs/>
                <w:sz w:val="16"/>
                <w:szCs w:val="16"/>
                <w:lang w:val="en-GB"/>
              </w:rPr>
            </w:pPr>
            <w:r w:rsidRPr="001005A8">
              <w:rPr>
                <w:rFonts w:asciiTheme="majorBidi" w:hAnsiTheme="majorBidi" w:cstheme="majorBidi"/>
                <w:b/>
                <w:bCs/>
                <w:color w:val="000000" w:themeColor="text1"/>
                <w:sz w:val="16"/>
                <w:szCs w:val="16"/>
                <w:lang w:val="en-GB"/>
              </w:rPr>
              <w:t>Frequency</w:t>
            </w:r>
            <w:r w:rsidRPr="001005A8">
              <w:rPr>
                <w:rFonts w:asciiTheme="majorBidi" w:hAnsiTheme="majorBidi" w:cstheme="majorBidi"/>
                <w:color w:val="000000" w:themeColor="text1"/>
                <w:sz w:val="16"/>
                <w:szCs w:val="16"/>
                <w:lang w:val="en-GB"/>
              </w:rPr>
              <w:t>: Annual</w:t>
            </w:r>
          </w:p>
        </w:tc>
        <w:tc>
          <w:tcPr>
            <w:tcW w:w="1980" w:type="dxa"/>
          </w:tcPr>
          <w:p w14:paraId="10D2298C" w14:textId="77777777" w:rsidR="00264CC3" w:rsidRPr="001005A8" w:rsidRDefault="00264CC3" w:rsidP="00422D51">
            <w:pPr>
              <w:jc w:val="both"/>
              <w:rPr>
                <w:rFonts w:asciiTheme="majorBidi" w:hAnsiTheme="majorBidi" w:cstheme="majorBidi"/>
                <w:color w:val="000000" w:themeColor="text1"/>
                <w:sz w:val="16"/>
                <w:szCs w:val="16"/>
                <w:lang w:val="en-GB"/>
              </w:rPr>
            </w:pPr>
          </w:p>
          <w:p w14:paraId="6C0F094A" w14:textId="77777777" w:rsidR="00264CC3" w:rsidRPr="001005A8" w:rsidRDefault="00264CC3" w:rsidP="00422D51">
            <w:pPr>
              <w:jc w:val="both"/>
              <w:rPr>
                <w:rFonts w:asciiTheme="majorBidi" w:hAnsiTheme="majorBidi" w:cstheme="majorBidi"/>
                <w:color w:val="000000" w:themeColor="text1"/>
                <w:sz w:val="16"/>
                <w:szCs w:val="16"/>
                <w:lang w:val="en-GB"/>
              </w:rPr>
            </w:pPr>
          </w:p>
          <w:p w14:paraId="2BEA698E" w14:textId="77777777" w:rsidR="00264CC3" w:rsidRPr="001005A8" w:rsidRDefault="00264CC3" w:rsidP="00422D51">
            <w:pPr>
              <w:jc w:val="both"/>
              <w:rPr>
                <w:rFonts w:asciiTheme="majorBidi" w:hAnsiTheme="majorBidi" w:cstheme="majorBidi"/>
                <w:color w:val="000000" w:themeColor="text1"/>
                <w:sz w:val="16"/>
                <w:szCs w:val="16"/>
                <w:lang w:val="en-GB"/>
              </w:rPr>
            </w:pPr>
          </w:p>
          <w:p w14:paraId="66A7900A" w14:textId="77777777" w:rsidR="00264CC3" w:rsidRPr="001005A8" w:rsidRDefault="00264CC3" w:rsidP="00422D51">
            <w:pPr>
              <w:jc w:val="both"/>
              <w:rPr>
                <w:rFonts w:asciiTheme="majorBidi" w:hAnsiTheme="majorBidi" w:cstheme="majorBidi"/>
                <w:color w:val="000000" w:themeColor="text1"/>
                <w:sz w:val="16"/>
                <w:szCs w:val="16"/>
                <w:lang w:val="en-GB"/>
              </w:rPr>
            </w:pPr>
          </w:p>
          <w:p w14:paraId="66D5EA7E" w14:textId="77777777" w:rsidR="00264CC3" w:rsidRPr="001005A8" w:rsidRDefault="00264CC3" w:rsidP="00422D51">
            <w:pPr>
              <w:jc w:val="both"/>
              <w:rPr>
                <w:rFonts w:asciiTheme="majorBidi" w:hAnsiTheme="majorBidi" w:cstheme="majorBidi"/>
                <w:color w:val="000000" w:themeColor="text1"/>
                <w:sz w:val="16"/>
                <w:szCs w:val="16"/>
                <w:lang w:val="en-GB"/>
              </w:rPr>
            </w:pPr>
          </w:p>
          <w:p w14:paraId="50B5E9C1" w14:textId="77777777" w:rsidR="00264CC3" w:rsidRPr="001005A8" w:rsidRDefault="00264CC3" w:rsidP="00422D51">
            <w:pPr>
              <w:jc w:val="both"/>
              <w:rPr>
                <w:rFonts w:asciiTheme="majorBidi" w:hAnsiTheme="majorBidi" w:cstheme="majorBidi"/>
                <w:color w:val="000000" w:themeColor="text1"/>
                <w:sz w:val="16"/>
                <w:szCs w:val="16"/>
                <w:lang w:val="en-GB"/>
              </w:rPr>
            </w:pPr>
          </w:p>
          <w:p w14:paraId="331B1A48" w14:textId="77777777" w:rsidR="00264CC3" w:rsidRPr="001005A8" w:rsidRDefault="00264CC3" w:rsidP="00422D51">
            <w:pPr>
              <w:jc w:val="both"/>
              <w:rPr>
                <w:rFonts w:asciiTheme="majorBidi" w:hAnsiTheme="majorBidi" w:cstheme="majorBidi"/>
                <w:color w:val="000000" w:themeColor="text1"/>
                <w:sz w:val="16"/>
                <w:szCs w:val="16"/>
                <w:lang w:val="en-GB"/>
              </w:rPr>
            </w:pPr>
          </w:p>
          <w:p w14:paraId="7DE7A422" w14:textId="77777777" w:rsidR="00264CC3" w:rsidRPr="001005A8" w:rsidRDefault="00264CC3" w:rsidP="00422D51">
            <w:pPr>
              <w:jc w:val="both"/>
              <w:rPr>
                <w:rFonts w:asciiTheme="majorBidi" w:hAnsiTheme="majorBidi" w:cstheme="majorBidi"/>
                <w:color w:val="000000" w:themeColor="text1"/>
                <w:sz w:val="16"/>
                <w:szCs w:val="16"/>
                <w:lang w:val="en-GB"/>
              </w:rPr>
            </w:pPr>
          </w:p>
          <w:p w14:paraId="2C095223" w14:textId="278F6E70" w:rsidR="00974AA7" w:rsidRPr="001005A8" w:rsidRDefault="00974AA7" w:rsidP="00422D51">
            <w:pPr>
              <w:jc w:val="both"/>
              <w:rPr>
                <w:rFonts w:asciiTheme="majorBidi" w:hAnsiTheme="majorBidi" w:cstheme="majorBidi"/>
                <w:color w:val="000000" w:themeColor="text1"/>
                <w:sz w:val="16"/>
                <w:szCs w:val="16"/>
                <w:lang w:val="en-GB"/>
              </w:rPr>
            </w:pPr>
          </w:p>
        </w:tc>
        <w:tc>
          <w:tcPr>
            <w:tcW w:w="1760" w:type="dxa"/>
            <w:tcMar>
              <w:top w:w="15" w:type="dxa"/>
              <w:left w:w="108" w:type="dxa"/>
              <w:bottom w:w="0" w:type="dxa"/>
              <w:right w:w="108" w:type="dxa"/>
            </w:tcMar>
          </w:tcPr>
          <w:p w14:paraId="597269C4" w14:textId="77777777" w:rsidR="00264CC3" w:rsidRPr="001005A8" w:rsidRDefault="00264CC3" w:rsidP="00422D51">
            <w:pPr>
              <w:jc w:val="both"/>
              <w:rPr>
                <w:rFonts w:asciiTheme="majorBidi" w:hAnsiTheme="majorBidi" w:cstheme="majorBidi"/>
                <w:sz w:val="16"/>
                <w:szCs w:val="16"/>
                <w:lang w:val="en-GB"/>
              </w:rPr>
            </w:pPr>
          </w:p>
          <w:p w14:paraId="4806743A" w14:textId="77777777" w:rsidR="00264CC3" w:rsidRPr="001005A8" w:rsidRDefault="00264CC3" w:rsidP="00422D51">
            <w:pPr>
              <w:jc w:val="both"/>
              <w:rPr>
                <w:rFonts w:asciiTheme="majorBidi" w:hAnsiTheme="majorBidi" w:cstheme="majorBidi"/>
                <w:sz w:val="16"/>
                <w:szCs w:val="16"/>
                <w:lang w:val="en-GB"/>
              </w:rPr>
            </w:pPr>
          </w:p>
          <w:p w14:paraId="020B889F" w14:textId="77777777" w:rsidR="00264CC3" w:rsidRPr="001005A8" w:rsidRDefault="00264CC3" w:rsidP="00422D51">
            <w:pPr>
              <w:jc w:val="both"/>
              <w:rPr>
                <w:rFonts w:asciiTheme="majorBidi" w:hAnsiTheme="majorBidi" w:cstheme="majorBidi"/>
                <w:sz w:val="16"/>
                <w:szCs w:val="16"/>
                <w:lang w:val="en-GB"/>
              </w:rPr>
            </w:pPr>
          </w:p>
          <w:p w14:paraId="79762D5C" w14:textId="77777777" w:rsidR="00264CC3" w:rsidRPr="001005A8" w:rsidRDefault="00264CC3" w:rsidP="00422D51">
            <w:pPr>
              <w:jc w:val="both"/>
              <w:rPr>
                <w:rFonts w:asciiTheme="majorBidi" w:hAnsiTheme="majorBidi" w:cstheme="majorBidi"/>
                <w:sz w:val="16"/>
                <w:szCs w:val="16"/>
                <w:lang w:val="en-GB"/>
              </w:rPr>
            </w:pPr>
          </w:p>
          <w:p w14:paraId="19F81112" w14:textId="77777777" w:rsidR="00264CC3" w:rsidRPr="001005A8" w:rsidRDefault="00264CC3" w:rsidP="00422D51">
            <w:pPr>
              <w:jc w:val="both"/>
              <w:rPr>
                <w:rFonts w:asciiTheme="majorBidi" w:hAnsiTheme="majorBidi" w:cstheme="majorBidi"/>
                <w:sz w:val="16"/>
                <w:szCs w:val="16"/>
                <w:lang w:val="en-GB"/>
              </w:rPr>
            </w:pPr>
          </w:p>
          <w:p w14:paraId="7063AEE4" w14:textId="77777777" w:rsidR="00264CC3" w:rsidRPr="001005A8" w:rsidRDefault="00264CC3" w:rsidP="00422D51">
            <w:pPr>
              <w:jc w:val="both"/>
              <w:rPr>
                <w:rFonts w:asciiTheme="majorBidi" w:hAnsiTheme="majorBidi" w:cstheme="majorBidi"/>
                <w:sz w:val="16"/>
                <w:szCs w:val="16"/>
                <w:lang w:val="en-GB"/>
              </w:rPr>
            </w:pPr>
          </w:p>
          <w:p w14:paraId="1F4A0FE6" w14:textId="77777777" w:rsidR="00264CC3" w:rsidRPr="001005A8" w:rsidRDefault="00264CC3" w:rsidP="00422D51">
            <w:pPr>
              <w:jc w:val="both"/>
              <w:rPr>
                <w:rFonts w:asciiTheme="majorBidi" w:hAnsiTheme="majorBidi" w:cstheme="majorBidi"/>
                <w:sz w:val="16"/>
                <w:szCs w:val="16"/>
                <w:lang w:val="en-GB"/>
              </w:rPr>
            </w:pPr>
          </w:p>
          <w:p w14:paraId="6ED35C26" w14:textId="77777777" w:rsidR="00264CC3" w:rsidRPr="001005A8" w:rsidRDefault="00264CC3" w:rsidP="00422D51">
            <w:pPr>
              <w:jc w:val="both"/>
              <w:rPr>
                <w:rFonts w:asciiTheme="majorBidi" w:hAnsiTheme="majorBidi" w:cstheme="majorBidi"/>
                <w:sz w:val="16"/>
                <w:szCs w:val="16"/>
                <w:lang w:val="en-GB"/>
              </w:rPr>
            </w:pPr>
          </w:p>
          <w:p w14:paraId="7CA0D776" w14:textId="448C90E2" w:rsidR="00974AA7" w:rsidRPr="001005A8" w:rsidRDefault="00974AA7" w:rsidP="00422D51">
            <w:pPr>
              <w:jc w:val="both"/>
              <w:rPr>
                <w:rFonts w:asciiTheme="majorBidi" w:hAnsiTheme="majorBidi" w:cstheme="majorBidi"/>
                <w:sz w:val="16"/>
                <w:szCs w:val="16"/>
                <w:lang w:val="en-GB"/>
              </w:rPr>
            </w:pPr>
          </w:p>
        </w:tc>
      </w:tr>
      <w:tr w:rsidR="00974AA7" w:rsidRPr="001005A8" w14:paraId="7141FA1A" w14:textId="77777777" w:rsidTr="00422D51">
        <w:trPr>
          <w:trHeight w:val="24"/>
        </w:trPr>
        <w:tc>
          <w:tcPr>
            <w:tcW w:w="13095" w:type="dxa"/>
            <w:gridSpan w:val="5"/>
            <w:shd w:val="clear" w:color="auto" w:fill="DBE5F1" w:themeFill="accent1" w:themeFillTint="33"/>
            <w:tcMar>
              <w:top w:w="72" w:type="dxa"/>
              <w:left w:w="144" w:type="dxa"/>
              <w:bottom w:w="72" w:type="dxa"/>
              <w:right w:w="144" w:type="dxa"/>
            </w:tcMar>
          </w:tcPr>
          <w:p w14:paraId="04A60CB4" w14:textId="77777777" w:rsidR="00974AA7" w:rsidRPr="001005A8" w:rsidRDefault="00974AA7" w:rsidP="00422D51">
            <w:pPr>
              <w:spacing w:line="259" w:lineRule="auto"/>
              <w:rPr>
                <w:rFonts w:asciiTheme="majorBidi" w:hAnsiTheme="majorBidi" w:cstheme="majorBidi"/>
                <w:sz w:val="16"/>
                <w:szCs w:val="16"/>
                <w:lang w:val="en-GB"/>
              </w:rPr>
            </w:pPr>
            <w:r w:rsidRPr="001005A8">
              <w:rPr>
                <w:rFonts w:asciiTheme="majorBidi" w:hAnsiTheme="majorBidi" w:cstheme="majorBidi"/>
                <w:b/>
                <w:bCs/>
                <w:sz w:val="16"/>
                <w:szCs w:val="16"/>
                <w:lang w:val="en-GB"/>
              </w:rPr>
              <w:t>NATIONAL PRIORITY</w:t>
            </w:r>
            <w:r w:rsidRPr="001005A8">
              <w:rPr>
                <w:rFonts w:asciiTheme="majorBidi" w:hAnsiTheme="majorBidi" w:cstheme="majorBidi"/>
                <w:sz w:val="16"/>
                <w:szCs w:val="16"/>
                <w:lang w:val="en-GB"/>
              </w:rPr>
              <w:t xml:space="preserve"> </w:t>
            </w:r>
            <w:r w:rsidRPr="001005A8">
              <w:rPr>
                <w:rFonts w:asciiTheme="majorBidi" w:hAnsiTheme="majorBidi" w:cstheme="majorBidi"/>
                <w:b/>
                <w:bCs/>
                <w:sz w:val="16"/>
                <w:szCs w:val="16"/>
                <w:lang w:val="en-GB"/>
              </w:rPr>
              <w:t>OR GOAL</w:t>
            </w:r>
            <w:r w:rsidRPr="001005A8">
              <w:rPr>
                <w:rFonts w:asciiTheme="majorBidi" w:hAnsiTheme="majorBidi" w:cstheme="majorBidi"/>
                <w:sz w:val="16"/>
                <w:szCs w:val="16"/>
                <w:lang w:val="en-GB"/>
              </w:rPr>
              <w:t>: National Development Plan (NDP) 2023-2027, priority 2: Economic diversification</w:t>
            </w:r>
          </w:p>
        </w:tc>
      </w:tr>
      <w:tr w:rsidR="00974AA7" w:rsidRPr="001005A8" w14:paraId="1AABECCC" w14:textId="77777777" w:rsidTr="00422D51">
        <w:trPr>
          <w:trHeight w:val="24"/>
        </w:trPr>
        <w:tc>
          <w:tcPr>
            <w:tcW w:w="13095" w:type="dxa"/>
            <w:gridSpan w:val="5"/>
            <w:shd w:val="clear" w:color="auto" w:fill="DBE5F1" w:themeFill="accent1" w:themeFillTint="33"/>
            <w:tcMar>
              <w:top w:w="72" w:type="dxa"/>
              <w:left w:w="144" w:type="dxa"/>
              <w:bottom w:w="72" w:type="dxa"/>
              <w:right w:w="144" w:type="dxa"/>
            </w:tcMar>
          </w:tcPr>
          <w:p w14:paraId="0B24B7CD" w14:textId="77777777" w:rsidR="00974AA7" w:rsidRPr="001005A8" w:rsidRDefault="00974AA7" w:rsidP="00422D51">
            <w:pPr>
              <w:spacing w:line="259" w:lineRule="auto"/>
              <w:jc w:val="both"/>
              <w:rPr>
                <w:rFonts w:asciiTheme="majorBidi" w:hAnsiTheme="majorBidi" w:cstheme="majorBidi"/>
                <w:sz w:val="16"/>
                <w:szCs w:val="16"/>
                <w:highlight w:val="yellow"/>
                <w:lang w:val="en-GB"/>
              </w:rPr>
            </w:pPr>
            <w:r w:rsidRPr="001005A8">
              <w:rPr>
                <w:rFonts w:asciiTheme="majorBidi" w:hAnsiTheme="majorBidi" w:cstheme="majorBidi"/>
                <w:b/>
                <w:bCs/>
                <w:sz w:val="16"/>
                <w:szCs w:val="16"/>
                <w:lang w:val="en-GB"/>
              </w:rPr>
              <w:t>COOPERATION FRAMEWORK OUTCOME INVOLVING UNDP #3</w:t>
            </w:r>
            <w:r w:rsidRPr="001005A8">
              <w:rPr>
                <w:rFonts w:asciiTheme="majorBidi" w:hAnsiTheme="majorBidi" w:cstheme="majorBidi"/>
                <w:sz w:val="16"/>
                <w:szCs w:val="16"/>
                <w:lang w:val="en-GB"/>
              </w:rPr>
              <w:t>: Outcome 4: By 2028, more people, especially women, youth and the most vulnerable, benefit from sustainable management of the environment and natural resources and are resilient to disasters and climate change.</w:t>
            </w:r>
          </w:p>
        </w:tc>
      </w:tr>
      <w:tr w:rsidR="00974AA7" w:rsidRPr="001005A8" w14:paraId="580F8C23" w14:textId="77777777" w:rsidTr="00422D51">
        <w:trPr>
          <w:trHeight w:val="24"/>
        </w:trPr>
        <w:tc>
          <w:tcPr>
            <w:tcW w:w="13095" w:type="dxa"/>
            <w:gridSpan w:val="5"/>
            <w:shd w:val="clear" w:color="auto" w:fill="DBE5F1" w:themeFill="accent1" w:themeFillTint="33"/>
            <w:tcMar>
              <w:top w:w="72" w:type="dxa"/>
              <w:left w:w="144" w:type="dxa"/>
              <w:bottom w:w="72" w:type="dxa"/>
              <w:right w:w="144" w:type="dxa"/>
            </w:tcMar>
          </w:tcPr>
          <w:p w14:paraId="50A7FFDC" w14:textId="77777777" w:rsidR="00974AA7" w:rsidRPr="001005A8" w:rsidRDefault="00974AA7" w:rsidP="00422D51">
            <w:pPr>
              <w:rPr>
                <w:rFonts w:asciiTheme="majorBidi" w:hAnsiTheme="majorBidi" w:cstheme="majorBidi"/>
                <w:sz w:val="16"/>
                <w:szCs w:val="16"/>
                <w:lang w:val="en-GB"/>
              </w:rPr>
            </w:pPr>
            <w:r w:rsidRPr="001005A8">
              <w:rPr>
                <w:rFonts w:asciiTheme="majorBidi" w:hAnsiTheme="majorBidi" w:cstheme="majorBidi"/>
                <w:b/>
                <w:bCs/>
                <w:sz w:val="16"/>
                <w:szCs w:val="16"/>
                <w:lang w:val="en-GB"/>
              </w:rPr>
              <w:t>RELATED STRATEGIC PLAN OUTCOME</w:t>
            </w:r>
            <w:r w:rsidRPr="001005A8">
              <w:rPr>
                <w:rFonts w:asciiTheme="majorBidi" w:hAnsiTheme="majorBidi" w:cstheme="majorBidi"/>
                <w:sz w:val="16"/>
                <w:szCs w:val="16"/>
                <w:lang w:val="en-GB"/>
              </w:rPr>
              <w:t>: Outcome 3. Resilience built to respond to systemic uncertainty and risk.</w:t>
            </w:r>
          </w:p>
        </w:tc>
      </w:tr>
      <w:tr w:rsidR="00974AA7" w:rsidRPr="001005A8" w14:paraId="65FE6D6B" w14:textId="77777777" w:rsidTr="00267F41">
        <w:trPr>
          <w:trHeight w:val="3842"/>
        </w:trPr>
        <w:tc>
          <w:tcPr>
            <w:tcW w:w="2785" w:type="dxa"/>
            <w:vMerge w:val="restart"/>
            <w:shd w:val="clear" w:color="auto" w:fill="auto"/>
            <w:tcMar>
              <w:top w:w="72" w:type="dxa"/>
              <w:left w:w="144" w:type="dxa"/>
              <w:bottom w:w="72" w:type="dxa"/>
              <w:right w:w="144" w:type="dxa"/>
            </w:tcMar>
          </w:tcPr>
          <w:p w14:paraId="67800629" w14:textId="425CB71D" w:rsidR="00974AA7" w:rsidRPr="001005A8" w:rsidRDefault="00974AA7" w:rsidP="00264CC3">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Indicator 3.1</w:t>
            </w:r>
            <w:r w:rsidR="00AF6F05" w:rsidRPr="001005A8">
              <w:rPr>
                <w:rFonts w:asciiTheme="majorBidi" w:hAnsiTheme="majorBidi" w:cstheme="majorBidi"/>
                <w:sz w:val="16"/>
                <w:szCs w:val="16"/>
                <w:lang w:val="en-GB"/>
              </w:rPr>
              <w:t>.</w:t>
            </w:r>
            <w:r w:rsidRPr="001005A8">
              <w:rPr>
                <w:rFonts w:asciiTheme="majorBidi" w:hAnsiTheme="majorBidi" w:cstheme="majorBidi"/>
                <w:sz w:val="16"/>
                <w:szCs w:val="16"/>
                <w:lang w:val="en-GB"/>
              </w:rPr>
              <w:t xml:space="preserve"> Renewable energy share in the total final energy consumption</w:t>
            </w:r>
          </w:p>
          <w:p w14:paraId="35793EDE" w14:textId="659C4BFF" w:rsidR="00974AA7" w:rsidRPr="001005A8" w:rsidRDefault="00974AA7" w:rsidP="00264CC3">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Baseline (2022)</w:t>
            </w:r>
            <w:r w:rsidRPr="001005A8">
              <w:rPr>
                <w:rFonts w:asciiTheme="majorBidi" w:hAnsiTheme="majorBidi" w:cstheme="majorBidi"/>
                <w:sz w:val="16"/>
                <w:szCs w:val="16"/>
                <w:lang w:val="en-GB"/>
              </w:rPr>
              <w:t>: 64</w:t>
            </w:r>
            <w:r w:rsidR="00AF6F05" w:rsidRPr="001005A8">
              <w:rPr>
                <w:rFonts w:asciiTheme="majorBidi" w:hAnsiTheme="majorBidi" w:cstheme="majorBidi"/>
                <w:sz w:val="16"/>
                <w:szCs w:val="16"/>
                <w:lang w:val="en-GB"/>
              </w:rPr>
              <w:t>%</w:t>
            </w:r>
          </w:p>
          <w:p w14:paraId="076D9AAD" w14:textId="07914F0C" w:rsidR="00974AA7" w:rsidRPr="001005A8" w:rsidRDefault="00974AA7" w:rsidP="00264CC3">
            <w:pPr>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 73</w:t>
            </w:r>
            <w:r w:rsidR="00AF6F05" w:rsidRPr="001005A8">
              <w:rPr>
                <w:rFonts w:asciiTheme="majorBidi" w:hAnsiTheme="majorBidi" w:cstheme="majorBidi"/>
                <w:color w:val="000000" w:themeColor="text1"/>
                <w:sz w:val="16"/>
                <w:szCs w:val="16"/>
                <w:lang w:val="en-GB"/>
              </w:rPr>
              <w:t>%</w:t>
            </w:r>
          </w:p>
          <w:p w14:paraId="12D39207" w14:textId="77777777" w:rsidR="00974AA7" w:rsidRPr="001005A8" w:rsidRDefault="00974AA7" w:rsidP="00264CC3">
            <w:pPr>
              <w:jc w:val="both"/>
              <w:rPr>
                <w:rFonts w:asciiTheme="majorBidi" w:hAnsiTheme="majorBidi" w:cstheme="majorBidi"/>
                <w:sz w:val="16"/>
                <w:szCs w:val="16"/>
                <w:lang w:val="en-GB"/>
              </w:rPr>
            </w:pPr>
          </w:p>
          <w:p w14:paraId="0E05EDED" w14:textId="77777777" w:rsidR="00CB332F" w:rsidRPr="001005A8" w:rsidRDefault="00CB332F" w:rsidP="00264CC3">
            <w:pPr>
              <w:jc w:val="both"/>
              <w:rPr>
                <w:rFonts w:asciiTheme="majorBidi" w:hAnsiTheme="majorBidi" w:cstheme="majorBidi"/>
                <w:sz w:val="16"/>
                <w:szCs w:val="16"/>
                <w:lang w:val="en-GB"/>
              </w:rPr>
            </w:pPr>
          </w:p>
          <w:p w14:paraId="66A951C3" w14:textId="77777777" w:rsidR="00CB332F" w:rsidRPr="001005A8" w:rsidRDefault="00CB332F" w:rsidP="00264CC3">
            <w:pPr>
              <w:jc w:val="both"/>
              <w:rPr>
                <w:rFonts w:asciiTheme="majorBidi" w:hAnsiTheme="majorBidi" w:cstheme="majorBidi"/>
                <w:sz w:val="16"/>
                <w:szCs w:val="16"/>
                <w:lang w:val="en-GB"/>
              </w:rPr>
            </w:pPr>
          </w:p>
          <w:p w14:paraId="1046F3C1" w14:textId="77777777" w:rsidR="00CB332F" w:rsidRPr="001005A8" w:rsidRDefault="00CB332F" w:rsidP="00264CC3">
            <w:pPr>
              <w:jc w:val="both"/>
              <w:rPr>
                <w:rFonts w:asciiTheme="majorBidi" w:hAnsiTheme="majorBidi" w:cstheme="majorBidi"/>
                <w:sz w:val="16"/>
                <w:szCs w:val="16"/>
                <w:lang w:val="en-GB"/>
              </w:rPr>
            </w:pPr>
          </w:p>
          <w:p w14:paraId="75DC89B8" w14:textId="77777777" w:rsidR="00594933" w:rsidRPr="001005A8" w:rsidRDefault="00594933" w:rsidP="00264CC3">
            <w:pPr>
              <w:jc w:val="both"/>
              <w:rPr>
                <w:rFonts w:asciiTheme="majorBidi" w:hAnsiTheme="majorBidi" w:cstheme="majorBidi"/>
                <w:sz w:val="16"/>
                <w:szCs w:val="16"/>
                <w:lang w:val="en-GB"/>
              </w:rPr>
            </w:pPr>
          </w:p>
          <w:p w14:paraId="08984AA2" w14:textId="77777777" w:rsidR="00064D64" w:rsidRPr="001005A8" w:rsidRDefault="00064D64" w:rsidP="00264CC3">
            <w:pPr>
              <w:jc w:val="both"/>
              <w:rPr>
                <w:rFonts w:asciiTheme="majorBidi" w:hAnsiTheme="majorBidi" w:cstheme="majorBidi"/>
                <w:sz w:val="16"/>
                <w:szCs w:val="16"/>
                <w:lang w:val="en-GB"/>
              </w:rPr>
            </w:pPr>
          </w:p>
          <w:p w14:paraId="5995CC57" w14:textId="00731BCB" w:rsidR="00974AA7" w:rsidRPr="001005A8" w:rsidRDefault="00974AA7" w:rsidP="00264CC3">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Indicator 3.2</w:t>
            </w:r>
            <w:r w:rsidR="00AF6F05" w:rsidRPr="001005A8">
              <w:rPr>
                <w:rFonts w:asciiTheme="majorBidi" w:hAnsiTheme="majorBidi" w:cstheme="majorBidi"/>
                <w:sz w:val="16"/>
                <w:szCs w:val="16"/>
                <w:lang w:val="en-GB"/>
              </w:rPr>
              <w:t>.</w:t>
            </w:r>
            <w:r w:rsidRPr="001005A8">
              <w:rPr>
                <w:rFonts w:asciiTheme="majorBidi" w:hAnsiTheme="majorBidi" w:cstheme="majorBidi"/>
                <w:sz w:val="16"/>
                <w:szCs w:val="16"/>
                <w:lang w:val="en-GB"/>
              </w:rPr>
              <w:t xml:space="preserve"> Proportion of important sites for terrestrial and freshwater biodiversity that are covered by protected areas, by ecosystem type.</w:t>
            </w:r>
          </w:p>
          <w:p w14:paraId="62CD0F7A" w14:textId="554468E4" w:rsidR="00974AA7" w:rsidRPr="001005A8" w:rsidRDefault="00974AA7" w:rsidP="00264CC3">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Baseline (2020):</w:t>
            </w:r>
            <w:r w:rsidRPr="001005A8">
              <w:rPr>
                <w:rFonts w:asciiTheme="majorBidi" w:hAnsiTheme="majorBidi" w:cstheme="majorBidi"/>
                <w:sz w:val="16"/>
                <w:szCs w:val="16"/>
                <w:lang w:val="en-GB"/>
              </w:rPr>
              <w:t xml:space="preserve"> 12.6</w:t>
            </w:r>
            <w:r w:rsidR="00AF6F05" w:rsidRPr="001005A8">
              <w:rPr>
                <w:rFonts w:asciiTheme="majorBidi" w:hAnsiTheme="majorBidi" w:cstheme="majorBidi"/>
                <w:sz w:val="16"/>
                <w:szCs w:val="16"/>
                <w:lang w:val="en-GB"/>
              </w:rPr>
              <w:t>%</w:t>
            </w:r>
          </w:p>
          <w:p w14:paraId="6FD7AE68" w14:textId="35E3FFC8" w:rsidR="00974AA7" w:rsidRPr="001005A8" w:rsidRDefault="00974AA7" w:rsidP="00264CC3">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Target (2028):</w:t>
            </w:r>
            <w:r w:rsidRPr="001005A8">
              <w:rPr>
                <w:rFonts w:asciiTheme="majorBidi" w:hAnsiTheme="majorBidi" w:cstheme="majorBidi"/>
                <w:sz w:val="16"/>
                <w:szCs w:val="16"/>
                <w:lang w:val="en-GB"/>
              </w:rPr>
              <w:t xml:space="preserve"> 19.8</w:t>
            </w:r>
            <w:r w:rsidR="00AF6F05" w:rsidRPr="001005A8">
              <w:rPr>
                <w:rFonts w:asciiTheme="majorBidi" w:hAnsiTheme="majorBidi" w:cstheme="majorBidi"/>
                <w:sz w:val="16"/>
                <w:szCs w:val="16"/>
                <w:lang w:val="en-GB"/>
              </w:rPr>
              <w:t>%</w:t>
            </w:r>
          </w:p>
          <w:p w14:paraId="404ACBFC" w14:textId="77777777" w:rsidR="00974AA7" w:rsidRPr="001005A8" w:rsidRDefault="00974AA7" w:rsidP="00264CC3">
            <w:pPr>
              <w:jc w:val="both"/>
              <w:rPr>
                <w:rFonts w:asciiTheme="majorBidi" w:hAnsiTheme="majorBidi" w:cstheme="majorBidi"/>
                <w:sz w:val="16"/>
                <w:szCs w:val="16"/>
                <w:lang w:val="en-GB"/>
              </w:rPr>
            </w:pPr>
          </w:p>
          <w:p w14:paraId="30507D50" w14:textId="77777777" w:rsidR="00264CC3" w:rsidRPr="001005A8" w:rsidRDefault="00264CC3" w:rsidP="00264CC3">
            <w:pPr>
              <w:jc w:val="both"/>
              <w:rPr>
                <w:rFonts w:asciiTheme="majorBidi" w:hAnsiTheme="majorBidi" w:cstheme="majorBidi"/>
                <w:sz w:val="16"/>
                <w:szCs w:val="16"/>
                <w:lang w:val="en-GB"/>
              </w:rPr>
            </w:pPr>
          </w:p>
          <w:p w14:paraId="2DF79F6D" w14:textId="77777777" w:rsidR="00264CC3" w:rsidRPr="001005A8" w:rsidRDefault="00264CC3" w:rsidP="00264CC3">
            <w:pPr>
              <w:jc w:val="both"/>
              <w:rPr>
                <w:rFonts w:asciiTheme="majorBidi" w:hAnsiTheme="majorBidi" w:cstheme="majorBidi"/>
                <w:b/>
                <w:bCs/>
                <w:sz w:val="16"/>
                <w:szCs w:val="16"/>
                <w:lang w:val="en-GB"/>
              </w:rPr>
            </w:pPr>
          </w:p>
          <w:p w14:paraId="1080544C" w14:textId="0AF32C50" w:rsidR="00974AA7" w:rsidRPr="001005A8" w:rsidRDefault="00974AA7" w:rsidP="00264CC3">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lastRenderedPageBreak/>
              <w:t>Indicator 3.3</w:t>
            </w:r>
            <w:r w:rsidR="00AF6F05" w:rsidRPr="001005A8">
              <w:rPr>
                <w:rFonts w:asciiTheme="majorBidi" w:hAnsiTheme="majorBidi" w:cstheme="majorBidi"/>
                <w:sz w:val="16"/>
                <w:szCs w:val="16"/>
                <w:lang w:val="en-GB"/>
              </w:rPr>
              <w:t>.</w:t>
            </w:r>
            <w:r w:rsidRPr="001005A8">
              <w:rPr>
                <w:rFonts w:asciiTheme="majorBidi" w:hAnsiTheme="majorBidi" w:cstheme="majorBidi"/>
                <w:sz w:val="16"/>
                <w:szCs w:val="16"/>
                <w:lang w:val="en-GB"/>
              </w:rPr>
              <w:t xml:space="preserve"> Total greenhouse gas emissions per year.</w:t>
            </w:r>
          </w:p>
          <w:p w14:paraId="262EA19B" w14:textId="77777777" w:rsidR="00974AA7" w:rsidRPr="001005A8" w:rsidRDefault="00974AA7" w:rsidP="00264CC3">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Baseline (2015)</w:t>
            </w:r>
            <w:r w:rsidRPr="001005A8">
              <w:rPr>
                <w:rFonts w:asciiTheme="majorBidi" w:hAnsiTheme="majorBidi" w:cstheme="majorBidi"/>
                <w:sz w:val="16"/>
                <w:szCs w:val="16"/>
                <w:lang w:val="en-GB"/>
              </w:rPr>
              <w:t>: 99.9 million tons of CO2e</w:t>
            </w:r>
          </w:p>
          <w:p w14:paraId="65FA8169" w14:textId="77777777" w:rsidR="00974AA7" w:rsidRPr="001005A8" w:rsidRDefault="00974AA7" w:rsidP="00422D51">
            <w:pPr>
              <w:rPr>
                <w:rFonts w:asciiTheme="majorBidi" w:hAnsiTheme="majorBidi" w:cstheme="majorBidi"/>
                <w:sz w:val="16"/>
                <w:szCs w:val="16"/>
                <w:lang w:val="en-GB"/>
              </w:rPr>
            </w:pPr>
            <w:r w:rsidRPr="001005A8">
              <w:rPr>
                <w:rFonts w:asciiTheme="majorBidi" w:hAnsiTheme="majorBidi" w:cstheme="majorBidi"/>
                <w:b/>
                <w:bCs/>
                <w:sz w:val="16"/>
                <w:szCs w:val="16"/>
                <w:lang w:val="en-GB"/>
              </w:rPr>
              <w:t>Target (2028):</w:t>
            </w:r>
            <w:r w:rsidRPr="001005A8">
              <w:rPr>
                <w:rFonts w:asciiTheme="majorBidi" w:hAnsiTheme="majorBidi" w:cstheme="majorBidi"/>
                <w:sz w:val="16"/>
                <w:szCs w:val="16"/>
                <w:lang w:val="en-GB"/>
              </w:rPr>
              <w:t xml:space="preserve"> 82.9 million tons of CO2e</w:t>
            </w:r>
          </w:p>
        </w:tc>
        <w:tc>
          <w:tcPr>
            <w:tcW w:w="1791" w:type="dxa"/>
            <w:vMerge w:val="restart"/>
            <w:shd w:val="clear" w:color="auto" w:fill="auto"/>
          </w:tcPr>
          <w:p w14:paraId="7BDF207D" w14:textId="77777777" w:rsidR="00763E19" w:rsidRPr="001005A8" w:rsidRDefault="00763E19" w:rsidP="00763E19">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lastRenderedPageBreak/>
              <w:t>Source</w:t>
            </w:r>
            <w:r w:rsidRPr="001005A8">
              <w:rPr>
                <w:rFonts w:asciiTheme="majorBidi" w:hAnsiTheme="majorBidi" w:cstheme="majorBidi"/>
                <w:sz w:val="16"/>
                <w:szCs w:val="16"/>
                <w:lang w:val="en-GB"/>
              </w:rPr>
              <w:t>: Ministry of Energy and Water (MINEA), Ministry of Environment (MINAMB)</w:t>
            </w:r>
          </w:p>
          <w:p w14:paraId="39EE59E4" w14:textId="77777777" w:rsidR="00763E19" w:rsidRPr="001005A8" w:rsidRDefault="00763E19" w:rsidP="00763E19">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Frequency</w:t>
            </w:r>
            <w:r w:rsidRPr="001005A8">
              <w:rPr>
                <w:rFonts w:asciiTheme="majorBidi" w:hAnsiTheme="majorBidi" w:cstheme="majorBidi"/>
                <w:sz w:val="16"/>
                <w:szCs w:val="16"/>
                <w:lang w:val="en-GB"/>
              </w:rPr>
              <w:t>: Annual</w:t>
            </w:r>
          </w:p>
          <w:p w14:paraId="07FB4AAF" w14:textId="77777777" w:rsidR="00763E19" w:rsidRPr="001005A8" w:rsidRDefault="00763E19" w:rsidP="00763E19">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Responsible</w:t>
            </w:r>
            <w:r w:rsidRPr="001005A8">
              <w:rPr>
                <w:rFonts w:asciiTheme="majorBidi" w:hAnsiTheme="majorBidi" w:cstheme="majorBidi"/>
                <w:sz w:val="16"/>
                <w:szCs w:val="16"/>
                <w:lang w:val="en-GB"/>
              </w:rPr>
              <w:t>: UNDP</w:t>
            </w:r>
          </w:p>
          <w:p w14:paraId="48BEF87A" w14:textId="77777777" w:rsidR="00064D64" w:rsidRPr="001005A8" w:rsidRDefault="00064D64" w:rsidP="00264CC3">
            <w:pPr>
              <w:jc w:val="both"/>
              <w:rPr>
                <w:rFonts w:asciiTheme="majorBidi" w:hAnsiTheme="majorBidi" w:cstheme="majorBidi"/>
                <w:b/>
                <w:bCs/>
                <w:sz w:val="16"/>
                <w:szCs w:val="16"/>
                <w:lang w:val="en-GB"/>
              </w:rPr>
            </w:pPr>
          </w:p>
          <w:p w14:paraId="65BCF107" w14:textId="77777777" w:rsidR="00064D64" w:rsidRPr="001005A8" w:rsidRDefault="00064D64" w:rsidP="00264CC3">
            <w:pPr>
              <w:jc w:val="both"/>
              <w:rPr>
                <w:rFonts w:asciiTheme="majorBidi" w:hAnsiTheme="majorBidi" w:cstheme="majorBidi"/>
                <w:b/>
                <w:bCs/>
                <w:sz w:val="16"/>
                <w:szCs w:val="16"/>
                <w:lang w:val="en-GB"/>
              </w:rPr>
            </w:pPr>
          </w:p>
          <w:p w14:paraId="4FCCCA3B" w14:textId="77777777" w:rsidR="00064D64" w:rsidRPr="001005A8" w:rsidRDefault="00064D64" w:rsidP="00264CC3">
            <w:pPr>
              <w:jc w:val="both"/>
              <w:rPr>
                <w:rFonts w:asciiTheme="majorBidi" w:hAnsiTheme="majorBidi" w:cstheme="majorBidi"/>
                <w:b/>
                <w:bCs/>
                <w:sz w:val="16"/>
                <w:szCs w:val="16"/>
                <w:lang w:val="en-GB"/>
              </w:rPr>
            </w:pPr>
          </w:p>
          <w:p w14:paraId="0A72A0D1" w14:textId="77777777" w:rsidR="00064D64" w:rsidRPr="001005A8" w:rsidRDefault="00064D64" w:rsidP="00264CC3">
            <w:pPr>
              <w:jc w:val="both"/>
              <w:rPr>
                <w:rFonts w:asciiTheme="majorBidi" w:hAnsiTheme="majorBidi" w:cstheme="majorBidi"/>
                <w:b/>
                <w:bCs/>
                <w:sz w:val="16"/>
                <w:szCs w:val="16"/>
                <w:lang w:val="en-GB"/>
              </w:rPr>
            </w:pPr>
          </w:p>
          <w:p w14:paraId="56438BA2" w14:textId="31DFB04E" w:rsidR="00974AA7" w:rsidRPr="001005A8" w:rsidRDefault="00974AA7" w:rsidP="00264CC3">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Source</w:t>
            </w:r>
            <w:r w:rsidRPr="001005A8">
              <w:rPr>
                <w:rFonts w:asciiTheme="majorBidi" w:hAnsiTheme="majorBidi" w:cstheme="majorBidi"/>
                <w:sz w:val="16"/>
                <w:szCs w:val="16"/>
                <w:lang w:val="en-GB"/>
              </w:rPr>
              <w:t>: Ministry of Energy and Water (MINEA), Ministry of Environment (MINAMB)</w:t>
            </w:r>
          </w:p>
          <w:p w14:paraId="7850B4AB" w14:textId="77777777" w:rsidR="00974AA7" w:rsidRPr="001005A8" w:rsidRDefault="00974AA7" w:rsidP="00264CC3">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Frequency</w:t>
            </w:r>
            <w:r w:rsidRPr="001005A8">
              <w:rPr>
                <w:rFonts w:asciiTheme="majorBidi" w:hAnsiTheme="majorBidi" w:cstheme="majorBidi"/>
                <w:sz w:val="16"/>
                <w:szCs w:val="16"/>
                <w:lang w:val="en-GB"/>
              </w:rPr>
              <w:t>: Annual</w:t>
            </w:r>
          </w:p>
          <w:p w14:paraId="4B2FF6C3" w14:textId="77777777" w:rsidR="00974AA7" w:rsidRPr="001005A8" w:rsidRDefault="00974AA7" w:rsidP="00264CC3">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Responsible</w:t>
            </w:r>
            <w:r w:rsidRPr="001005A8">
              <w:rPr>
                <w:rFonts w:asciiTheme="majorBidi" w:hAnsiTheme="majorBidi" w:cstheme="majorBidi"/>
                <w:sz w:val="16"/>
                <w:szCs w:val="16"/>
                <w:lang w:val="en-GB"/>
              </w:rPr>
              <w:t>: UNDP</w:t>
            </w:r>
          </w:p>
          <w:p w14:paraId="0A1A6D63" w14:textId="77777777" w:rsidR="00974AA7" w:rsidRPr="001005A8" w:rsidRDefault="00974AA7" w:rsidP="00422D51">
            <w:pPr>
              <w:jc w:val="both"/>
              <w:rPr>
                <w:rFonts w:asciiTheme="majorBidi" w:hAnsiTheme="majorBidi" w:cstheme="majorBidi"/>
                <w:sz w:val="16"/>
                <w:szCs w:val="16"/>
                <w:lang w:val="en-GB"/>
              </w:rPr>
            </w:pPr>
          </w:p>
          <w:p w14:paraId="32E31A93" w14:textId="77777777" w:rsidR="00974AA7" w:rsidRPr="001005A8" w:rsidRDefault="00974AA7" w:rsidP="00422D51">
            <w:pPr>
              <w:jc w:val="both"/>
              <w:rPr>
                <w:rFonts w:asciiTheme="majorBidi" w:hAnsiTheme="majorBidi" w:cstheme="majorBidi"/>
                <w:sz w:val="16"/>
                <w:szCs w:val="16"/>
                <w:lang w:val="en-GB"/>
              </w:rPr>
            </w:pPr>
          </w:p>
          <w:p w14:paraId="2A39B023" w14:textId="77777777" w:rsidR="00974AA7" w:rsidRPr="001005A8" w:rsidRDefault="00974AA7" w:rsidP="00422D51">
            <w:pPr>
              <w:rPr>
                <w:rFonts w:asciiTheme="majorBidi" w:hAnsiTheme="majorBidi" w:cstheme="majorBidi"/>
                <w:b/>
                <w:bCs/>
                <w:sz w:val="16"/>
                <w:szCs w:val="16"/>
                <w:lang w:val="en-GB"/>
              </w:rPr>
            </w:pPr>
          </w:p>
          <w:p w14:paraId="0EF7801D" w14:textId="77777777" w:rsidR="00267F41" w:rsidRPr="001005A8" w:rsidRDefault="00267F41" w:rsidP="00422D51">
            <w:pPr>
              <w:rPr>
                <w:rFonts w:asciiTheme="majorBidi" w:hAnsiTheme="majorBidi" w:cstheme="majorBidi"/>
                <w:b/>
                <w:bCs/>
                <w:sz w:val="16"/>
                <w:szCs w:val="16"/>
                <w:lang w:val="en-GB"/>
              </w:rPr>
            </w:pPr>
          </w:p>
          <w:p w14:paraId="27E1BC0C" w14:textId="77777777" w:rsidR="00974AA7" w:rsidRPr="001005A8" w:rsidRDefault="00974AA7" w:rsidP="00422D51">
            <w:pPr>
              <w:rPr>
                <w:rFonts w:asciiTheme="majorBidi" w:hAnsiTheme="majorBidi" w:cstheme="majorBidi"/>
                <w:sz w:val="16"/>
                <w:szCs w:val="16"/>
                <w:lang w:val="en-GB"/>
              </w:rPr>
            </w:pPr>
            <w:r w:rsidRPr="001005A8">
              <w:rPr>
                <w:rFonts w:asciiTheme="majorBidi" w:hAnsiTheme="majorBidi" w:cstheme="majorBidi"/>
                <w:b/>
                <w:bCs/>
                <w:sz w:val="16"/>
                <w:szCs w:val="16"/>
                <w:lang w:val="en-GB"/>
              </w:rPr>
              <w:lastRenderedPageBreak/>
              <w:t>Source</w:t>
            </w:r>
            <w:r w:rsidRPr="001005A8">
              <w:rPr>
                <w:rFonts w:asciiTheme="majorBidi" w:hAnsiTheme="majorBidi" w:cstheme="majorBidi"/>
                <w:sz w:val="16"/>
                <w:szCs w:val="16"/>
                <w:lang w:val="en-GB"/>
              </w:rPr>
              <w:t>: MINAMB, MININT</w:t>
            </w:r>
          </w:p>
          <w:p w14:paraId="19F7F0B4" w14:textId="77777777"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Frequency</w:t>
            </w:r>
            <w:r w:rsidRPr="001005A8">
              <w:rPr>
                <w:rFonts w:asciiTheme="majorBidi" w:hAnsiTheme="majorBidi" w:cstheme="majorBidi"/>
                <w:sz w:val="16"/>
                <w:szCs w:val="16"/>
                <w:lang w:val="en-GB"/>
              </w:rPr>
              <w:t>: Annual</w:t>
            </w:r>
          </w:p>
          <w:p w14:paraId="57D9E2C9" w14:textId="77777777" w:rsidR="00974AA7" w:rsidRPr="001005A8" w:rsidRDefault="00974AA7"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Responsible</w:t>
            </w:r>
            <w:r w:rsidRPr="001005A8">
              <w:rPr>
                <w:rFonts w:asciiTheme="majorBidi" w:hAnsiTheme="majorBidi" w:cstheme="majorBidi"/>
                <w:sz w:val="16"/>
                <w:szCs w:val="16"/>
                <w:lang w:val="en-GB"/>
              </w:rPr>
              <w:t>: UNDP</w:t>
            </w:r>
          </w:p>
          <w:p w14:paraId="5CDE181A" w14:textId="77777777" w:rsidR="00974AA7" w:rsidRPr="001005A8" w:rsidRDefault="00974AA7" w:rsidP="00422D51">
            <w:pPr>
              <w:jc w:val="both"/>
              <w:rPr>
                <w:rFonts w:asciiTheme="majorBidi" w:hAnsiTheme="majorBidi" w:cstheme="majorBidi"/>
                <w:sz w:val="16"/>
                <w:szCs w:val="16"/>
                <w:lang w:val="en-GB"/>
              </w:rPr>
            </w:pPr>
          </w:p>
          <w:p w14:paraId="4F4F8A8A" w14:textId="77777777" w:rsidR="00974AA7" w:rsidRPr="001005A8" w:rsidRDefault="00974AA7" w:rsidP="00422D51">
            <w:pPr>
              <w:jc w:val="both"/>
              <w:rPr>
                <w:rFonts w:asciiTheme="majorBidi" w:hAnsiTheme="majorBidi" w:cstheme="majorBidi"/>
                <w:sz w:val="16"/>
                <w:szCs w:val="16"/>
                <w:lang w:val="en-GB"/>
              </w:rPr>
            </w:pPr>
          </w:p>
          <w:p w14:paraId="3982BBF5" w14:textId="77777777" w:rsidR="00974AA7" w:rsidRPr="001005A8" w:rsidRDefault="00974AA7" w:rsidP="00422D51">
            <w:pPr>
              <w:jc w:val="both"/>
              <w:rPr>
                <w:rFonts w:asciiTheme="majorBidi" w:hAnsiTheme="majorBidi" w:cstheme="majorBidi"/>
                <w:sz w:val="16"/>
                <w:szCs w:val="16"/>
                <w:lang w:val="en-GB"/>
              </w:rPr>
            </w:pPr>
          </w:p>
          <w:p w14:paraId="67716817" w14:textId="77777777" w:rsidR="00974AA7" w:rsidRPr="001005A8" w:rsidRDefault="00974AA7" w:rsidP="00422D51">
            <w:pPr>
              <w:jc w:val="both"/>
              <w:rPr>
                <w:rFonts w:asciiTheme="majorBidi" w:hAnsiTheme="majorBidi" w:cstheme="majorBidi"/>
                <w:sz w:val="16"/>
                <w:szCs w:val="16"/>
                <w:lang w:val="en-GB"/>
              </w:rPr>
            </w:pPr>
          </w:p>
          <w:p w14:paraId="04B31C24" w14:textId="77777777" w:rsidR="00974AA7" w:rsidRPr="001005A8" w:rsidRDefault="00974AA7" w:rsidP="00422D51">
            <w:pPr>
              <w:jc w:val="both"/>
              <w:rPr>
                <w:rFonts w:asciiTheme="majorBidi" w:hAnsiTheme="majorBidi" w:cstheme="majorBidi"/>
                <w:sz w:val="16"/>
                <w:szCs w:val="16"/>
                <w:lang w:val="en-GB"/>
              </w:rPr>
            </w:pPr>
          </w:p>
          <w:p w14:paraId="664B4620" w14:textId="77777777" w:rsidR="00974AA7" w:rsidRPr="001005A8" w:rsidRDefault="00974AA7" w:rsidP="00422D51">
            <w:pPr>
              <w:rPr>
                <w:rFonts w:asciiTheme="majorBidi" w:hAnsiTheme="majorBidi" w:cstheme="majorBidi"/>
                <w:b/>
                <w:bCs/>
                <w:sz w:val="16"/>
                <w:szCs w:val="16"/>
                <w:lang w:val="en-GB"/>
              </w:rPr>
            </w:pPr>
          </w:p>
          <w:p w14:paraId="70CE2A8A" w14:textId="77777777" w:rsidR="00974AA7" w:rsidRPr="001005A8" w:rsidRDefault="00974AA7" w:rsidP="00422D51">
            <w:pPr>
              <w:rPr>
                <w:rFonts w:asciiTheme="majorBidi" w:hAnsiTheme="majorBidi" w:cstheme="majorBidi"/>
                <w:b/>
                <w:bCs/>
                <w:sz w:val="16"/>
                <w:szCs w:val="16"/>
                <w:lang w:val="en-GB"/>
              </w:rPr>
            </w:pPr>
          </w:p>
          <w:p w14:paraId="3042E612" w14:textId="77777777" w:rsidR="00974AA7" w:rsidRPr="001005A8" w:rsidRDefault="00974AA7" w:rsidP="00422D51">
            <w:pPr>
              <w:rPr>
                <w:rFonts w:asciiTheme="majorBidi" w:hAnsiTheme="majorBidi" w:cstheme="majorBidi"/>
                <w:b/>
                <w:bCs/>
                <w:sz w:val="16"/>
                <w:szCs w:val="16"/>
                <w:lang w:val="en-GB"/>
              </w:rPr>
            </w:pPr>
          </w:p>
          <w:p w14:paraId="118116C9" w14:textId="77777777" w:rsidR="00974AA7" w:rsidRPr="001005A8" w:rsidRDefault="00974AA7" w:rsidP="00422D51">
            <w:pPr>
              <w:jc w:val="both"/>
              <w:rPr>
                <w:rFonts w:asciiTheme="majorBidi" w:hAnsiTheme="majorBidi" w:cstheme="majorBidi"/>
                <w:sz w:val="16"/>
                <w:szCs w:val="16"/>
                <w:lang w:val="en-GB"/>
              </w:rPr>
            </w:pPr>
          </w:p>
        </w:tc>
        <w:tc>
          <w:tcPr>
            <w:tcW w:w="4779" w:type="dxa"/>
            <w:shd w:val="clear" w:color="auto" w:fill="auto"/>
            <w:tcMar>
              <w:top w:w="72" w:type="dxa"/>
              <w:left w:w="144" w:type="dxa"/>
              <w:bottom w:w="72" w:type="dxa"/>
              <w:right w:w="144" w:type="dxa"/>
            </w:tcMar>
          </w:tcPr>
          <w:p w14:paraId="2053D31F" w14:textId="77777777" w:rsidR="00974AA7" w:rsidRPr="001005A8" w:rsidRDefault="00974AA7" w:rsidP="00422D51">
            <w:pPr>
              <w:jc w:val="both"/>
              <w:rPr>
                <w:rFonts w:asciiTheme="majorBidi" w:hAnsiTheme="majorBidi" w:cstheme="majorBidi"/>
                <w:b/>
                <w:bCs/>
                <w:color w:val="000000" w:themeColor="text1"/>
                <w:sz w:val="16"/>
                <w:szCs w:val="16"/>
                <w:lang w:val="en-GB"/>
              </w:rPr>
            </w:pPr>
            <w:r w:rsidRPr="001005A8">
              <w:rPr>
                <w:rFonts w:asciiTheme="majorBidi" w:hAnsiTheme="majorBidi" w:cstheme="majorBidi"/>
                <w:b/>
                <w:bCs/>
                <w:color w:val="000000" w:themeColor="text1"/>
                <w:sz w:val="16"/>
                <w:szCs w:val="16"/>
                <w:lang w:val="en-GB"/>
              </w:rPr>
              <w:lastRenderedPageBreak/>
              <w:t>Output 3.1. Innovative solutions developed and scaled up to foster inclusive access to affordable, reliable and sustainable energy.</w:t>
            </w:r>
          </w:p>
          <w:p w14:paraId="4AD70548" w14:textId="77777777" w:rsidR="00974AA7" w:rsidRPr="001005A8" w:rsidRDefault="00974AA7" w:rsidP="00422D51">
            <w:pPr>
              <w:pStyle w:val="ListParagraph"/>
              <w:ind w:left="0"/>
              <w:jc w:val="both"/>
              <w:rPr>
                <w:rFonts w:asciiTheme="majorBidi" w:hAnsiTheme="majorBidi" w:cstheme="majorBidi"/>
                <w:b/>
                <w:bCs/>
                <w:i/>
                <w:iCs/>
                <w:color w:val="000000" w:themeColor="text1"/>
                <w:sz w:val="16"/>
                <w:szCs w:val="16"/>
                <w:lang w:val="en-GB"/>
              </w:rPr>
            </w:pPr>
            <w:r w:rsidRPr="001005A8">
              <w:rPr>
                <w:rFonts w:asciiTheme="majorBidi" w:hAnsiTheme="majorBidi" w:cstheme="majorBidi"/>
                <w:color w:val="000000" w:themeColor="text1"/>
                <w:sz w:val="16"/>
                <w:szCs w:val="16"/>
                <w:lang w:val="en-GB"/>
              </w:rPr>
              <w:t xml:space="preserve"> </w:t>
            </w:r>
          </w:p>
          <w:p w14:paraId="35F27DC3" w14:textId="77777777" w:rsidR="00974AA7"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 xml:space="preserve">3.1.1. </w:t>
            </w:r>
            <w:r w:rsidRPr="001005A8">
              <w:rPr>
                <w:rFonts w:asciiTheme="majorBidi" w:hAnsiTheme="majorBidi" w:cstheme="majorBidi"/>
                <w:color w:val="000000" w:themeColor="text1"/>
                <w:sz w:val="16"/>
                <w:szCs w:val="16"/>
                <w:lang w:val="en-GB"/>
              </w:rPr>
              <w:t>Number of people who gained access to affordable, reliable and sustainable energy.</w:t>
            </w:r>
          </w:p>
          <w:p w14:paraId="32CF7D2E" w14:textId="77777777" w:rsidR="00974AA7"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Baseline (2022)</w:t>
            </w:r>
            <w:r w:rsidRPr="001005A8">
              <w:rPr>
                <w:rFonts w:asciiTheme="majorBidi" w:hAnsiTheme="majorBidi" w:cstheme="majorBidi"/>
                <w:color w:val="000000" w:themeColor="text1"/>
                <w:sz w:val="16"/>
                <w:szCs w:val="16"/>
                <w:lang w:val="en-GB"/>
              </w:rPr>
              <w:t xml:space="preserve">: 0; </w:t>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 550,000 (247,500 males, 302,500 females)</w:t>
            </w:r>
          </w:p>
          <w:p w14:paraId="0D9D70ED" w14:textId="77777777" w:rsidR="00AF6F05"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Data Source</w:t>
            </w:r>
            <w:r w:rsidRPr="001005A8">
              <w:rPr>
                <w:rFonts w:asciiTheme="majorBidi" w:hAnsiTheme="majorBidi" w:cstheme="majorBidi"/>
                <w:color w:val="000000" w:themeColor="text1"/>
                <w:sz w:val="16"/>
                <w:szCs w:val="16"/>
                <w:lang w:val="en-GB"/>
              </w:rPr>
              <w:t>: MINEA</w:t>
            </w:r>
          </w:p>
          <w:p w14:paraId="5D02114B" w14:textId="75ABC9C0"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Frequency</w:t>
            </w:r>
            <w:r w:rsidRPr="001005A8">
              <w:rPr>
                <w:rFonts w:asciiTheme="majorBidi" w:hAnsiTheme="majorBidi" w:cstheme="majorBidi"/>
                <w:color w:val="000000" w:themeColor="text1"/>
                <w:sz w:val="16"/>
                <w:szCs w:val="16"/>
                <w:lang w:val="en-GB"/>
              </w:rPr>
              <w:t>: Annual</w:t>
            </w:r>
          </w:p>
          <w:p w14:paraId="335E644E" w14:textId="77777777"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p>
          <w:p w14:paraId="473ADA0E" w14:textId="77777777" w:rsidR="00974AA7" w:rsidRPr="001005A8" w:rsidRDefault="00974AA7" w:rsidP="00422D51">
            <w:pPr>
              <w:pStyle w:val="ListParagraph"/>
              <w:ind w:left="0"/>
              <w:jc w:val="both"/>
              <w:rPr>
                <w:rFonts w:asciiTheme="majorBidi" w:hAnsiTheme="majorBidi" w:cstheme="majorBidi"/>
                <w:b/>
                <w:bCs/>
                <w:i/>
                <w:iCs/>
                <w:color w:val="000000" w:themeColor="text1"/>
                <w:sz w:val="16"/>
                <w:szCs w:val="16"/>
                <w:lang w:val="en-GB"/>
              </w:rPr>
            </w:pPr>
            <w:r w:rsidRPr="001005A8">
              <w:rPr>
                <w:rFonts w:asciiTheme="majorBidi" w:hAnsiTheme="majorBidi" w:cstheme="majorBidi"/>
                <w:b/>
                <w:bCs/>
                <w:color w:val="000000" w:themeColor="text1"/>
                <w:sz w:val="16"/>
                <w:szCs w:val="16"/>
                <w:lang w:val="en-GB"/>
              </w:rPr>
              <w:t>3.1.2.</w:t>
            </w:r>
            <w:r w:rsidRPr="001005A8">
              <w:rPr>
                <w:rFonts w:asciiTheme="majorBidi" w:hAnsiTheme="majorBidi" w:cstheme="majorBidi"/>
                <w:sz w:val="16"/>
                <w:szCs w:val="16"/>
                <w:lang w:val="en-GB"/>
              </w:rPr>
              <w:t xml:space="preserve"> </w:t>
            </w:r>
            <w:r w:rsidRPr="001005A8">
              <w:rPr>
                <w:rFonts w:asciiTheme="majorBidi" w:hAnsiTheme="majorBidi" w:cstheme="majorBidi"/>
                <w:color w:val="000000" w:themeColor="text1"/>
                <w:sz w:val="16"/>
                <w:szCs w:val="16"/>
                <w:lang w:val="en-GB"/>
              </w:rPr>
              <w:t>Extent to which innovative solutions are developed to improve access to affordable, reliable and sustainable energy.</w:t>
            </w:r>
          </w:p>
          <w:p w14:paraId="37CC1D22" w14:textId="77777777"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Baseline (2022)</w:t>
            </w:r>
            <w:r w:rsidRPr="001005A8">
              <w:rPr>
                <w:rFonts w:asciiTheme="majorBidi" w:hAnsiTheme="majorBidi" w:cstheme="majorBidi"/>
                <w:color w:val="000000" w:themeColor="text1"/>
                <w:sz w:val="16"/>
                <w:szCs w:val="16"/>
                <w:lang w:val="en-GB"/>
              </w:rPr>
              <w:t>: Low</w:t>
            </w:r>
            <w:r w:rsidRPr="001005A8">
              <w:rPr>
                <w:rStyle w:val="FootnoteReference"/>
                <w:rFonts w:asciiTheme="majorBidi" w:hAnsiTheme="majorBidi" w:cstheme="majorBidi"/>
                <w:color w:val="000000" w:themeColor="text1"/>
                <w:sz w:val="16"/>
                <w:szCs w:val="16"/>
                <w:lang w:val="en-GB"/>
              </w:rPr>
              <w:footnoteReference w:id="23"/>
            </w:r>
            <w:r w:rsidRPr="001005A8">
              <w:rPr>
                <w:rFonts w:asciiTheme="majorBidi" w:hAnsiTheme="majorBidi" w:cstheme="majorBidi"/>
                <w:color w:val="000000" w:themeColor="text1"/>
                <w:sz w:val="16"/>
                <w:szCs w:val="16"/>
                <w:lang w:val="en-GB"/>
              </w:rPr>
              <w:t xml:space="preserve">; </w:t>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 High</w:t>
            </w:r>
          </w:p>
          <w:p w14:paraId="15349CF3" w14:textId="77777777" w:rsidR="00AF6F05"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Data Source</w:t>
            </w:r>
            <w:r w:rsidRPr="001005A8">
              <w:rPr>
                <w:rFonts w:asciiTheme="majorBidi" w:hAnsiTheme="majorBidi" w:cstheme="majorBidi"/>
                <w:color w:val="000000" w:themeColor="text1"/>
                <w:sz w:val="16"/>
                <w:szCs w:val="16"/>
                <w:lang w:val="en-GB"/>
              </w:rPr>
              <w:t>: MINEA</w:t>
            </w:r>
          </w:p>
          <w:p w14:paraId="2C867739" w14:textId="41AFD0B6"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Frequency</w:t>
            </w:r>
            <w:r w:rsidRPr="001005A8">
              <w:rPr>
                <w:rFonts w:asciiTheme="majorBidi" w:hAnsiTheme="majorBidi" w:cstheme="majorBidi"/>
                <w:color w:val="000000" w:themeColor="text1"/>
                <w:sz w:val="16"/>
                <w:szCs w:val="16"/>
                <w:lang w:val="en-GB"/>
              </w:rPr>
              <w:t>: Annual</w:t>
            </w:r>
          </w:p>
          <w:p w14:paraId="4D030225" w14:textId="77777777"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p>
        </w:tc>
        <w:tc>
          <w:tcPr>
            <w:tcW w:w="1980" w:type="dxa"/>
            <w:shd w:val="clear" w:color="auto" w:fill="auto"/>
          </w:tcPr>
          <w:p w14:paraId="0776237B" w14:textId="540B0C99" w:rsidR="00974AA7" w:rsidRPr="001005A8" w:rsidRDefault="00974AA7" w:rsidP="00422D51">
            <w:pPr>
              <w:jc w:val="both"/>
              <w:textAlignment w:val="baseline"/>
              <w:rPr>
                <w:rFonts w:asciiTheme="majorBidi" w:hAnsiTheme="majorBidi" w:cstheme="majorBidi"/>
                <w:sz w:val="16"/>
                <w:szCs w:val="16"/>
                <w:lang w:val="en-GB"/>
              </w:rPr>
            </w:pPr>
            <w:r w:rsidRPr="001005A8">
              <w:rPr>
                <w:rFonts w:asciiTheme="majorBidi" w:hAnsiTheme="majorBidi" w:cstheme="majorBidi"/>
                <w:sz w:val="16"/>
                <w:szCs w:val="16"/>
                <w:lang w:val="en-GB"/>
              </w:rPr>
              <w:t>MINAMB, MINFIN, MINEA, MINAGRIF, Ministry of Interior (MININT), E</w:t>
            </w:r>
            <w:r w:rsidR="00145400" w:rsidRPr="001005A8">
              <w:rPr>
                <w:rFonts w:asciiTheme="majorBidi" w:hAnsiTheme="majorBidi" w:cstheme="majorBidi"/>
                <w:sz w:val="16"/>
                <w:szCs w:val="16"/>
                <w:lang w:val="en-GB"/>
              </w:rPr>
              <w:t xml:space="preserve">uropean </w:t>
            </w:r>
            <w:r w:rsidRPr="001005A8">
              <w:rPr>
                <w:rFonts w:asciiTheme="majorBidi" w:hAnsiTheme="majorBidi" w:cstheme="majorBidi"/>
                <w:sz w:val="16"/>
                <w:szCs w:val="16"/>
                <w:lang w:val="en-GB"/>
              </w:rPr>
              <w:t>U</w:t>
            </w:r>
            <w:r w:rsidR="00145400" w:rsidRPr="001005A8">
              <w:rPr>
                <w:rFonts w:asciiTheme="majorBidi" w:hAnsiTheme="majorBidi" w:cstheme="majorBidi"/>
                <w:sz w:val="16"/>
                <w:szCs w:val="16"/>
                <w:lang w:val="en-GB"/>
              </w:rPr>
              <w:t>nion</w:t>
            </w:r>
            <w:r w:rsidRPr="001005A8">
              <w:rPr>
                <w:rFonts w:asciiTheme="majorBidi" w:hAnsiTheme="majorBidi" w:cstheme="majorBidi"/>
                <w:sz w:val="16"/>
                <w:szCs w:val="16"/>
                <w:lang w:val="en-GB"/>
              </w:rPr>
              <w:t>, FAO, GEF, GCF, LDCF Development Partners, Communities, CSOs.</w:t>
            </w:r>
          </w:p>
        </w:tc>
        <w:tc>
          <w:tcPr>
            <w:tcW w:w="1760" w:type="dxa"/>
            <w:shd w:val="clear" w:color="auto" w:fill="auto"/>
            <w:tcMar>
              <w:top w:w="15" w:type="dxa"/>
              <w:left w:w="108" w:type="dxa"/>
              <w:bottom w:w="0" w:type="dxa"/>
              <w:right w:w="108" w:type="dxa"/>
            </w:tcMar>
          </w:tcPr>
          <w:p w14:paraId="5A3BD796" w14:textId="77777777" w:rsidR="00974AA7" w:rsidRPr="001005A8" w:rsidRDefault="00974AA7" w:rsidP="00422D51">
            <w:pPr>
              <w:jc w:val="both"/>
              <w:rPr>
                <w:rFonts w:asciiTheme="majorBidi" w:hAnsiTheme="majorBidi" w:cstheme="majorBidi"/>
                <w:b/>
                <w:bCs/>
                <w:sz w:val="16"/>
                <w:szCs w:val="16"/>
                <w:lang w:val="en-GB"/>
              </w:rPr>
            </w:pPr>
            <w:r w:rsidRPr="001005A8">
              <w:rPr>
                <w:rFonts w:asciiTheme="majorBidi" w:hAnsiTheme="majorBidi" w:cstheme="majorBidi"/>
                <w:b/>
                <w:bCs/>
                <w:sz w:val="16"/>
                <w:szCs w:val="16"/>
                <w:lang w:val="en-GB"/>
              </w:rPr>
              <w:t>Regular: 4,069</w:t>
            </w:r>
          </w:p>
          <w:p w14:paraId="44CA6E48" w14:textId="77777777" w:rsidR="00974AA7" w:rsidRPr="001005A8" w:rsidRDefault="00974AA7" w:rsidP="00422D51">
            <w:pPr>
              <w:jc w:val="both"/>
              <w:rPr>
                <w:rFonts w:asciiTheme="majorBidi" w:hAnsiTheme="majorBidi" w:cstheme="majorBidi"/>
                <w:b/>
                <w:bCs/>
                <w:sz w:val="16"/>
                <w:szCs w:val="16"/>
                <w:lang w:val="en-GB"/>
              </w:rPr>
            </w:pPr>
          </w:p>
          <w:p w14:paraId="24F5A35D" w14:textId="77777777" w:rsidR="00974AA7" w:rsidRPr="001005A8" w:rsidRDefault="00974AA7" w:rsidP="00422D51">
            <w:pPr>
              <w:jc w:val="both"/>
              <w:rPr>
                <w:rFonts w:asciiTheme="majorBidi" w:hAnsiTheme="majorBidi" w:cstheme="majorBidi"/>
                <w:b/>
                <w:bCs/>
                <w:sz w:val="16"/>
                <w:szCs w:val="16"/>
                <w:lang w:val="en-GB"/>
              </w:rPr>
            </w:pPr>
            <w:r w:rsidRPr="001005A8">
              <w:rPr>
                <w:rFonts w:asciiTheme="majorBidi" w:hAnsiTheme="majorBidi" w:cstheme="majorBidi"/>
                <w:b/>
                <w:bCs/>
                <w:sz w:val="16"/>
                <w:szCs w:val="16"/>
                <w:lang w:val="en-GB"/>
              </w:rPr>
              <w:t>Other: 37,753</w:t>
            </w:r>
          </w:p>
          <w:p w14:paraId="7E88ED24" w14:textId="77777777" w:rsidR="00974AA7" w:rsidRPr="001005A8" w:rsidRDefault="00974AA7" w:rsidP="00422D51">
            <w:pPr>
              <w:jc w:val="both"/>
              <w:rPr>
                <w:rFonts w:asciiTheme="majorBidi" w:hAnsiTheme="majorBidi" w:cstheme="majorBidi"/>
                <w:sz w:val="16"/>
                <w:szCs w:val="16"/>
                <w:lang w:val="en-GB"/>
              </w:rPr>
            </w:pPr>
          </w:p>
        </w:tc>
      </w:tr>
      <w:tr w:rsidR="00974AA7" w:rsidRPr="001005A8" w14:paraId="7AC176A4" w14:textId="77777777" w:rsidTr="0064612E">
        <w:trPr>
          <w:trHeight w:val="3725"/>
        </w:trPr>
        <w:tc>
          <w:tcPr>
            <w:tcW w:w="2785" w:type="dxa"/>
            <w:vMerge/>
            <w:tcMar>
              <w:top w:w="72" w:type="dxa"/>
              <w:left w:w="144" w:type="dxa"/>
              <w:bottom w:w="72" w:type="dxa"/>
              <w:right w:w="144" w:type="dxa"/>
            </w:tcMar>
            <w:vAlign w:val="center"/>
          </w:tcPr>
          <w:p w14:paraId="6CB89F13" w14:textId="77777777" w:rsidR="00974AA7" w:rsidRPr="001005A8" w:rsidRDefault="00974AA7" w:rsidP="00422D51">
            <w:pPr>
              <w:jc w:val="both"/>
              <w:rPr>
                <w:rFonts w:asciiTheme="majorBidi" w:hAnsiTheme="majorBidi" w:cstheme="majorBidi"/>
                <w:b/>
                <w:bCs/>
                <w:sz w:val="16"/>
                <w:szCs w:val="16"/>
                <w:lang w:val="en-GB"/>
              </w:rPr>
            </w:pPr>
          </w:p>
        </w:tc>
        <w:tc>
          <w:tcPr>
            <w:tcW w:w="1791" w:type="dxa"/>
            <w:vMerge/>
          </w:tcPr>
          <w:p w14:paraId="01BB89C0" w14:textId="77777777" w:rsidR="00974AA7" w:rsidRPr="001005A8" w:rsidRDefault="00974AA7" w:rsidP="00422D51">
            <w:pPr>
              <w:jc w:val="both"/>
              <w:rPr>
                <w:rFonts w:asciiTheme="majorBidi" w:hAnsiTheme="majorBidi" w:cstheme="majorBidi"/>
                <w:b/>
                <w:bCs/>
                <w:sz w:val="16"/>
                <w:szCs w:val="16"/>
                <w:lang w:val="en-GB"/>
              </w:rPr>
            </w:pPr>
          </w:p>
        </w:tc>
        <w:tc>
          <w:tcPr>
            <w:tcW w:w="4779" w:type="dxa"/>
            <w:shd w:val="clear" w:color="auto" w:fill="auto"/>
            <w:tcMar>
              <w:top w:w="72" w:type="dxa"/>
              <w:left w:w="144" w:type="dxa"/>
              <w:bottom w:w="72" w:type="dxa"/>
              <w:right w:w="144" w:type="dxa"/>
            </w:tcMar>
          </w:tcPr>
          <w:p w14:paraId="12A04951" w14:textId="77777777" w:rsidR="00974AA7" w:rsidRPr="001005A8" w:rsidRDefault="00974AA7" w:rsidP="00422D51">
            <w:pPr>
              <w:spacing w:line="257" w:lineRule="auto"/>
              <w:jc w:val="both"/>
              <w:rPr>
                <w:rFonts w:asciiTheme="majorBidi" w:hAnsiTheme="majorBidi" w:cstheme="majorBidi"/>
                <w:b/>
                <w:bCs/>
                <w:color w:val="000000" w:themeColor="text1"/>
                <w:sz w:val="16"/>
                <w:szCs w:val="16"/>
                <w:lang w:val="en-GB"/>
              </w:rPr>
            </w:pPr>
            <w:r w:rsidRPr="001005A8">
              <w:rPr>
                <w:rFonts w:asciiTheme="majorBidi" w:hAnsiTheme="majorBidi" w:cstheme="majorBidi"/>
                <w:b/>
                <w:bCs/>
                <w:color w:val="000000" w:themeColor="text1"/>
                <w:sz w:val="16"/>
                <w:szCs w:val="16"/>
                <w:lang w:val="en-GB"/>
              </w:rPr>
              <w:t>Output 3.2. Institutional and technical capacities enhanced to promote evidence-based, risk-informed planning and sustainable management of resources, including climate change adaptation.</w:t>
            </w:r>
          </w:p>
          <w:p w14:paraId="2A29759B" w14:textId="77777777" w:rsidR="00974AA7" w:rsidRPr="001005A8" w:rsidRDefault="00974AA7" w:rsidP="00422D51">
            <w:pPr>
              <w:jc w:val="both"/>
              <w:rPr>
                <w:rFonts w:asciiTheme="majorBidi" w:hAnsiTheme="majorBidi" w:cstheme="majorBidi"/>
                <w:b/>
                <w:bCs/>
                <w:color w:val="000000" w:themeColor="text1"/>
                <w:sz w:val="16"/>
                <w:szCs w:val="16"/>
                <w:lang w:val="en-GB"/>
              </w:rPr>
            </w:pPr>
          </w:p>
          <w:p w14:paraId="1391893D" w14:textId="77777777" w:rsidR="00974AA7"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 xml:space="preserve">3.2.1. </w:t>
            </w:r>
            <w:r w:rsidRPr="001005A8">
              <w:rPr>
                <w:rFonts w:asciiTheme="majorBidi" w:hAnsiTheme="majorBidi" w:cstheme="majorBidi"/>
                <w:color w:val="000000" w:themeColor="text1"/>
                <w:sz w:val="16"/>
                <w:szCs w:val="16"/>
                <w:lang w:val="en-GB"/>
              </w:rPr>
              <w:t>Number of people benefiting from new initiatives to protect nature and promote the sustainable use of natural resources. </w:t>
            </w:r>
          </w:p>
          <w:p w14:paraId="514A990A" w14:textId="77777777" w:rsidR="00974AA7" w:rsidRPr="001005A8" w:rsidRDefault="00974AA7" w:rsidP="00422D51">
            <w:pPr>
              <w:pStyle w:val="ListParagraph"/>
              <w:spacing w:line="259" w:lineRule="auto"/>
              <w:ind w:left="0"/>
              <w:jc w:val="both"/>
              <w:rPr>
                <w:rFonts w:asciiTheme="majorBidi" w:hAnsiTheme="majorBidi" w:cstheme="majorBidi"/>
                <w:b/>
                <w:bCs/>
                <w:color w:val="000000" w:themeColor="text1"/>
                <w:sz w:val="16"/>
                <w:szCs w:val="16"/>
                <w:lang w:val="en-GB"/>
              </w:rPr>
            </w:pPr>
            <w:r w:rsidRPr="001005A8">
              <w:rPr>
                <w:rFonts w:asciiTheme="majorBidi" w:hAnsiTheme="majorBidi" w:cstheme="majorBidi"/>
                <w:b/>
                <w:bCs/>
                <w:color w:val="000000" w:themeColor="text1"/>
                <w:sz w:val="16"/>
                <w:szCs w:val="16"/>
                <w:lang w:val="en-GB"/>
              </w:rPr>
              <w:t>Baseline (2022)</w:t>
            </w:r>
            <w:r w:rsidRPr="001005A8">
              <w:rPr>
                <w:rFonts w:asciiTheme="majorBidi" w:hAnsiTheme="majorBidi" w:cstheme="majorBidi"/>
                <w:color w:val="000000" w:themeColor="text1"/>
                <w:sz w:val="16"/>
                <w:szCs w:val="16"/>
                <w:lang w:val="en-GB"/>
              </w:rPr>
              <w:t xml:space="preserve">: 145 (80 males, 65 females); </w:t>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 xml:space="preserve"> 30,000 (13,500 males, 16,500 females)</w:t>
            </w:r>
          </w:p>
          <w:p w14:paraId="441E0925" w14:textId="77777777" w:rsidR="0018476B" w:rsidRPr="001005A8" w:rsidRDefault="00974AA7"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Data Source</w:t>
            </w:r>
            <w:r w:rsidRPr="001005A8">
              <w:rPr>
                <w:rFonts w:asciiTheme="majorBidi" w:hAnsiTheme="majorBidi" w:cstheme="majorBidi"/>
                <w:color w:val="000000" w:themeColor="text1"/>
                <w:sz w:val="16"/>
                <w:szCs w:val="16"/>
                <w:lang w:val="en-GB"/>
              </w:rPr>
              <w:t>: MINAMB</w:t>
            </w:r>
          </w:p>
          <w:p w14:paraId="35DDF118" w14:textId="78B823EE" w:rsidR="00974AA7" w:rsidRPr="001005A8" w:rsidRDefault="00974AA7" w:rsidP="00422D51">
            <w:pPr>
              <w:pStyle w:val="ListParagraph"/>
              <w:spacing w:line="259" w:lineRule="auto"/>
              <w:ind w:left="0"/>
              <w:jc w:val="both"/>
              <w:rPr>
                <w:rFonts w:asciiTheme="majorBidi" w:hAnsiTheme="majorBidi" w:cstheme="majorBidi"/>
                <w:b/>
                <w:bCs/>
                <w:color w:val="000000" w:themeColor="text1"/>
                <w:sz w:val="16"/>
                <w:szCs w:val="16"/>
                <w:lang w:val="en-GB"/>
              </w:rPr>
            </w:pPr>
            <w:r w:rsidRPr="001005A8">
              <w:rPr>
                <w:rFonts w:asciiTheme="majorBidi" w:hAnsiTheme="majorBidi" w:cstheme="majorBidi"/>
                <w:b/>
                <w:bCs/>
                <w:color w:val="000000" w:themeColor="text1"/>
                <w:sz w:val="16"/>
                <w:szCs w:val="16"/>
                <w:lang w:val="en-GB"/>
              </w:rPr>
              <w:t>Frequency</w:t>
            </w:r>
            <w:r w:rsidRPr="001005A8">
              <w:rPr>
                <w:rFonts w:asciiTheme="majorBidi" w:hAnsiTheme="majorBidi" w:cstheme="majorBidi"/>
                <w:color w:val="000000" w:themeColor="text1"/>
                <w:sz w:val="16"/>
                <w:szCs w:val="16"/>
                <w:lang w:val="en-GB"/>
              </w:rPr>
              <w:t>: Annual</w:t>
            </w:r>
          </w:p>
          <w:p w14:paraId="1E77051B" w14:textId="77777777" w:rsidR="00974AA7" w:rsidRPr="001005A8" w:rsidRDefault="00974AA7" w:rsidP="00422D51">
            <w:pPr>
              <w:jc w:val="both"/>
              <w:rPr>
                <w:rFonts w:asciiTheme="majorBidi" w:hAnsiTheme="majorBidi" w:cstheme="majorBidi"/>
                <w:b/>
                <w:bCs/>
                <w:color w:val="000000" w:themeColor="text1"/>
                <w:sz w:val="16"/>
                <w:szCs w:val="16"/>
                <w:lang w:val="en-GB"/>
              </w:rPr>
            </w:pPr>
          </w:p>
          <w:p w14:paraId="570B990D" w14:textId="77777777" w:rsidR="00974AA7" w:rsidRPr="001005A8" w:rsidRDefault="00974AA7" w:rsidP="00422D51">
            <w:pPr>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 xml:space="preserve">3.2.2. </w:t>
            </w:r>
            <w:r w:rsidRPr="001005A8">
              <w:rPr>
                <w:rFonts w:asciiTheme="majorBidi" w:hAnsiTheme="majorBidi" w:cstheme="majorBidi"/>
                <w:color w:val="000000" w:themeColor="text1"/>
                <w:sz w:val="16"/>
                <w:szCs w:val="16"/>
                <w:lang w:val="en-GB"/>
              </w:rPr>
              <w:t>Area of terrestrial and marine protected areas created or under improved management practices.</w:t>
            </w:r>
          </w:p>
          <w:p w14:paraId="72FB630F" w14:textId="77777777" w:rsidR="00974AA7" w:rsidRPr="001005A8" w:rsidRDefault="00974AA7" w:rsidP="00422D51">
            <w:pPr>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 xml:space="preserve">Baseline (2022): </w:t>
            </w:r>
            <w:r w:rsidRPr="001005A8">
              <w:rPr>
                <w:rFonts w:asciiTheme="majorBidi" w:hAnsiTheme="majorBidi" w:cstheme="majorBidi"/>
                <w:color w:val="000000" w:themeColor="text1"/>
                <w:sz w:val="16"/>
                <w:szCs w:val="16"/>
                <w:lang w:val="en-GB"/>
              </w:rPr>
              <w:t xml:space="preserve">0; </w:t>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 xml:space="preserve"> 30,000 hectares</w:t>
            </w:r>
          </w:p>
          <w:p w14:paraId="05ACB856" w14:textId="77777777" w:rsidR="0018476B" w:rsidRPr="001005A8" w:rsidRDefault="00974AA7" w:rsidP="00422D51">
            <w:pPr>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 xml:space="preserve">Data Source: </w:t>
            </w:r>
            <w:r w:rsidRPr="001005A8">
              <w:rPr>
                <w:rFonts w:asciiTheme="majorBidi" w:hAnsiTheme="majorBidi" w:cstheme="majorBidi"/>
                <w:color w:val="000000" w:themeColor="text1"/>
                <w:sz w:val="16"/>
                <w:szCs w:val="16"/>
                <w:lang w:val="en-GB"/>
              </w:rPr>
              <w:t>MINAMB</w:t>
            </w:r>
          </w:p>
          <w:p w14:paraId="31142066" w14:textId="6D606A87" w:rsidR="00974AA7" w:rsidRPr="001005A8" w:rsidRDefault="00974AA7" w:rsidP="00422D51">
            <w:pPr>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 xml:space="preserve">Frequency: </w:t>
            </w:r>
            <w:r w:rsidRPr="001005A8">
              <w:rPr>
                <w:rFonts w:asciiTheme="majorBidi" w:hAnsiTheme="majorBidi" w:cstheme="majorBidi"/>
                <w:color w:val="000000" w:themeColor="text1"/>
                <w:sz w:val="16"/>
                <w:szCs w:val="16"/>
                <w:lang w:val="en-GB"/>
              </w:rPr>
              <w:t>Annual</w:t>
            </w:r>
          </w:p>
          <w:p w14:paraId="6C2BBCE6" w14:textId="77777777" w:rsidR="00974AA7" w:rsidRPr="001005A8" w:rsidRDefault="00974AA7" w:rsidP="00422D51">
            <w:pPr>
              <w:jc w:val="both"/>
              <w:rPr>
                <w:rFonts w:asciiTheme="majorBidi" w:hAnsiTheme="majorBidi" w:cstheme="majorBidi"/>
                <w:b/>
                <w:bCs/>
                <w:color w:val="000000" w:themeColor="text1"/>
                <w:sz w:val="16"/>
                <w:szCs w:val="16"/>
                <w:lang w:val="en-GB"/>
              </w:rPr>
            </w:pPr>
          </w:p>
          <w:p w14:paraId="64FAA735" w14:textId="77777777"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 xml:space="preserve">3.2.3. </w:t>
            </w:r>
            <w:r w:rsidRPr="001005A8">
              <w:rPr>
                <w:rFonts w:asciiTheme="majorBidi" w:hAnsiTheme="majorBidi" w:cstheme="majorBidi"/>
                <w:color w:val="000000" w:themeColor="text1"/>
                <w:sz w:val="16"/>
                <w:szCs w:val="16"/>
                <w:lang w:val="en-GB"/>
              </w:rPr>
              <w:t>Number of local authorities with early warning and preparedness measures in place to prevent and manage the impact of shocks and disasters.</w:t>
            </w:r>
          </w:p>
          <w:p w14:paraId="7EED8C91" w14:textId="77777777" w:rsidR="00974AA7"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Baseline (2022)</w:t>
            </w:r>
            <w:r w:rsidRPr="001005A8">
              <w:rPr>
                <w:rFonts w:asciiTheme="majorBidi" w:hAnsiTheme="majorBidi" w:cstheme="majorBidi"/>
                <w:color w:val="000000" w:themeColor="text1"/>
                <w:sz w:val="16"/>
                <w:szCs w:val="16"/>
                <w:lang w:val="en-GB"/>
              </w:rPr>
              <w:t xml:space="preserve">: 9; </w:t>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 100</w:t>
            </w:r>
          </w:p>
          <w:p w14:paraId="2EA63BE6" w14:textId="77777777" w:rsidR="0018476B" w:rsidRPr="001005A8" w:rsidRDefault="00974AA7"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Source</w:t>
            </w:r>
            <w:r w:rsidRPr="001005A8">
              <w:rPr>
                <w:rFonts w:asciiTheme="majorBidi" w:hAnsiTheme="majorBidi" w:cstheme="majorBidi"/>
                <w:color w:val="000000" w:themeColor="text1"/>
                <w:sz w:val="16"/>
                <w:szCs w:val="16"/>
                <w:lang w:val="en-GB"/>
              </w:rPr>
              <w:t>: MININT</w:t>
            </w:r>
          </w:p>
          <w:p w14:paraId="7A36A197" w14:textId="14D27425" w:rsidR="00974AA7" w:rsidRPr="001005A8" w:rsidRDefault="00974AA7" w:rsidP="00422D51">
            <w:pPr>
              <w:pStyle w:val="ListParagraph"/>
              <w:ind w:left="0"/>
              <w:jc w:val="both"/>
              <w:rPr>
                <w:rFonts w:asciiTheme="majorBidi" w:hAnsiTheme="majorBidi" w:cstheme="majorBidi"/>
                <w:b/>
                <w:bCs/>
                <w:color w:val="000000" w:themeColor="text1"/>
                <w:sz w:val="16"/>
                <w:szCs w:val="16"/>
                <w:lang w:val="en-GB"/>
              </w:rPr>
            </w:pPr>
            <w:r w:rsidRPr="001005A8">
              <w:rPr>
                <w:rFonts w:asciiTheme="majorBidi" w:hAnsiTheme="majorBidi" w:cstheme="majorBidi"/>
                <w:b/>
                <w:bCs/>
                <w:color w:val="000000" w:themeColor="text1"/>
                <w:sz w:val="16"/>
                <w:szCs w:val="16"/>
                <w:lang w:val="en-GB"/>
              </w:rPr>
              <w:t>Frequency</w:t>
            </w:r>
            <w:r w:rsidRPr="001005A8">
              <w:rPr>
                <w:rFonts w:asciiTheme="majorBidi" w:hAnsiTheme="majorBidi" w:cstheme="majorBidi"/>
                <w:color w:val="000000" w:themeColor="text1"/>
                <w:sz w:val="16"/>
                <w:szCs w:val="16"/>
                <w:lang w:val="en-GB"/>
              </w:rPr>
              <w:t>: Annual</w:t>
            </w:r>
          </w:p>
        </w:tc>
        <w:tc>
          <w:tcPr>
            <w:tcW w:w="1980" w:type="dxa"/>
            <w:shd w:val="clear" w:color="auto" w:fill="auto"/>
          </w:tcPr>
          <w:p w14:paraId="36ACBCDD" w14:textId="77777777" w:rsidR="00264CC3" w:rsidRPr="001005A8" w:rsidRDefault="00264CC3" w:rsidP="00422D51">
            <w:pPr>
              <w:jc w:val="both"/>
              <w:textAlignment w:val="baseline"/>
              <w:rPr>
                <w:rFonts w:asciiTheme="majorBidi" w:hAnsiTheme="majorBidi" w:cstheme="majorBidi"/>
                <w:sz w:val="16"/>
                <w:szCs w:val="16"/>
                <w:lang w:val="en-GB"/>
              </w:rPr>
            </w:pPr>
          </w:p>
          <w:p w14:paraId="03CA0AC7" w14:textId="77777777" w:rsidR="00264CC3" w:rsidRPr="001005A8" w:rsidRDefault="00264CC3" w:rsidP="00422D51">
            <w:pPr>
              <w:jc w:val="both"/>
              <w:textAlignment w:val="baseline"/>
              <w:rPr>
                <w:rFonts w:asciiTheme="majorBidi" w:hAnsiTheme="majorBidi" w:cstheme="majorBidi"/>
                <w:sz w:val="16"/>
                <w:szCs w:val="16"/>
                <w:lang w:val="en-GB"/>
              </w:rPr>
            </w:pPr>
          </w:p>
          <w:p w14:paraId="633BD847" w14:textId="77777777" w:rsidR="00264CC3" w:rsidRPr="001005A8" w:rsidRDefault="00264CC3" w:rsidP="00422D51">
            <w:pPr>
              <w:jc w:val="both"/>
              <w:textAlignment w:val="baseline"/>
              <w:rPr>
                <w:rFonts w:asciiTheme="majorBidi" w:hAnsiTheme="majorBidi" w:cstheme="majorBidi"/>
                <w:sz w:val="16"/>
                <w:szCs w:val="16"/>
                <w:lang w:val="en-GB"/>
              </w:rPr>
            </w:pPr>
          </w:p>
          <w:p w14:paraId="33D1E9EF" w14:textId="77777777" w:rsidR="00264CC3" w:rsidRPr="001005A8" w:rsidRDefault="00264CC3" w:rsidP="00422D51">
            <w:pPr>
              <w:jc w:val="both"/>
              <w:textAlignment w:val="baseline"/>
              <w:rPr>
                <w:rFonts w:asciiTheme="majorBidi" w:hAnsiTheme="majorBidi" w:cstheme="majorBidi"/>
                <w:sz w:val="16"/>
                <w:szCs w:val="16"/>
                <w:lang w:val="en-GB"/>
              </w:rPr>
            </w:pPr>
          </w:p>
          <w:p w14:paraId="31C5E262" w14:textId="77777777" w:rsidR="00264CC3" w:rsidRPr="001005A8" w:rsidRDefault="00264CC3" w:rsidP="00422D51">
            <w:pPr>
              <w:jc w:val="both"/>
              <w:textAlignment w:val="baseline"/>
              <w:rPr>
                <w:rFonts w:asciiTheme="majorBidi" w:hAnsiTheme="majorBidi" w:cstheme="majorBidi"/>
                <w:sz w:val="16"/>
                <w:szCs w:val="16"/>
                <w:lang w:val="en-GB"/>
              </w:rPr>
            </w:pPr>
          </w:p>
          <w:p w14:paraId="53D2818D" w14:textId="77777777" w:rsidR="00264CC3" w:rsidRPr="001005A8" w:rsidRDefault="00264CC3" w:rsidP="00422D51">
            <w:pPr>
              <w:jc w:val="both"/>
              <w:textAlignment w:val="baseline"/>
              <w:rPr>
                <w:rFonts w:asciiTheme="majorBidi" w:hAnsiTheme="majorBidi" w:cstheme="majorBidi"/>
                <w:sz w:val="16"/>
                <w:szCs w:val="16"/>
                <w:lang w:val="en-GB"/>
              </w:rPr>
            </w:pPr>
          </w:p>
          <w:p w14:paraId="7B0DE565" w14:textId="77777777" w:rsidR="00264CC3" w:rsidRPr="001005A8" w:rsidRDefault="00264CC3" w:rsidP="00422D51">
            <w:pPr>
              <w:jc w:val="both"/>
              <w:textAlignment w:val="baseline"/>
              <w:rPr>
                <w:rFonts w:asciiTheme="majorBidi" w:hAnsiTheme="majorBidi" w:cstheme="majorBidi"/>
                <w:sz w:val="16"/>
                <w:szCs w:val="16"/>
                <w:lang w:val="en-GB"/>
              </w:rPr>
            </w:pPr>
          </w:p>
          <w:p w14:paraId="5A2E63CD" w14:textId="77777777" w:rsidR="00264CC3" w:rsidRPr="001005A8" w:rsidRDefault="00264CC3" w:rsidP="00422D51">
            <w:pPr>
              <w:jc w:val="both"/>
              <w:textAlignment w:val="baseline"/>
              <w:rPr>
                <w:rFonts w:asciiTheme="majorBidi" w:hAnsiTheme="majorBidi" w:cstheme="majorBidi"/>
                <w:sz w:val="16"/>
                <w:szCs w:val="16"/>
                <w:lang w:val="en-GB"/>
              </w:rPr>
            </w:pPr>
          </w:p>
          <w:p w14:paraId="5FDE8869" w14:textId="77777777" w:rsidR="00264CC3" w:rsidRPr="001005A8" w:rsidRDefault="00264CC3" w:rsidP="00422D51">
            <w:pPr>
              <w:jc w:val="both"/>
              <w:textAlignment w:val="baseline"/>
              <w:rPr>
                <w:rFonts w:asciiTheme="majorBidi" w:hAnsiTheme="majorBidi" w:cstheme="majorBidi"/>
                <w:sz w:val="16"/>
                <w:szCs w:val="16"/>
                <w:lang w:val="en-GB"/>
              </w:rPr>
            </w:pPr>
          </w:p>
          <w:p w14:paraId="3AD65E17" w14:textId="77777777" w:rsidR="00264CC3" w:rsidRPr="001005A8" w:rsidRDefault="00264CC3" w:rsidP="00422D51">
            <w:pPr>
              <w:jc w:val="both"/>
              <w:textAlignment w:val="baseline"/>
              <w:rPr>
                <w:rFonts w:asciiTheme="majorBidi" w:hAnsiTheme="majorBidi" w:cstheme="majorBidi"/>
                <w:sz w:val="16"/>
                <w:szCs w:val="16"/>
                <w:lang w:val="en-GB"/>
              </w:rPr>
            </w:pPr>
          </w:p>
          <w:p w14:paraId="72514198" w14:textId="77777777" w:rsidR="00264CC3" w:rsidRPr="001005A8" w:rsidRDefault="00264CC3" w:rsidP="00422D51">
            <w:pPr>
              <w:jc w:val="both"/>
              <w:textAlignment w:val="baseline"/>
              <w:rPr>
                <w:rFonts w:asciiTheme="majorBidi" w:hAnsiTheme="majorBidi" w:cstheme="majorBidi"/>
                <w:sz w:val="16"/>
                <w:szCs w:val="16"/>
                <w:lang w:val="en-GB"/>
              </w:rPr>
            </w:pPr>
          </w:p>
          <w:p w14:paraId="1CE21512" w14:textId="4E932A66" w:rsidR="00974AA7" w:rsidRPr="001005A8" w:rsidRDefault="00974AA7" w:rsidP="00422D51">
            <w:pPr>
              <w:jc w:val="both"/>
              <w:textAlignment w:val="baseline"/>
              <w:rPr>
                <w:rFonts w:asciiTheme="majorBidi" w:hAnsiTheme="majorBidi" w:cstheme="majorBidi"/>
                <w:sz w:val="16"/>
                <w:szCs w:val="16"/>
                <w:lang w:val="en-GB"/>
              </w:rPr>
            </w:pPr>
          </w:p>
        </w:tc>
        <w:tc>
          <w:tcPr>
            <w:tcW w:w="1760" w:type="dxa"/>
            <w:shd w:val="clear" w:color="auto" w:fill="auto"/>
            <w:tcMar>
              <w:top w:w="15" w:type="dxa"/>
              <w:left w:w="108" w:type="dxa"/>
              <w:bottom w:w="0" w:type="dxa"/>
              <w:right w:w="108" w:type="dxa"/>
            </w:tcMar>
          </w:tcPr>
          <w:p w14:paraId="012DBA7D" w14:textId="77777777" w:rsidR="00264CC3" w:rsidRPr="001005A8" w:rsidRDefault="00264CC3" w:rsidP="00422D51">
            <w:pPr>
              <w:jc w:val="both"/>
              <w:textAlignment w:val="baseline"/>
              <w:rPr>
                <w:rFonts w:asciiTheme="majorBidi" w:hAnsiTheme="majorBidi" w:cstheme="majorBidi"/>
                <w:sz w:val="16"/>
                <w:szCs w:val="16"/>
                <w:lang w:val="en-GB"/>
              </w:rPr>
            </w:pPr>
          </w:p>
          <w:p w14:paraId="170120CD" w14:textId="77777777" w:rsidR="00264CC3" w:rsidRPr="001005A8" w:rsidRDefault="00264CC3" w:rsidP="00422D51">
            <w:pPr>
              <w:jc w:val="both"/>
              <w:textAlignment w:val="baseline"/>
              <w:rPr>
                <w:rFonts w:asciiTheme="majorBidi" w:hAnsiTheme="majorBidi" w:cstheme="majorBidi"/>
                <w:sz w:val="16"/>
                <w:szCs w:val="16"/>
                <w:lang w:val="en-GB"/>
              </w:rPr>
            </w:pPr>
          </w:p>
          <w:p w14:paraId="339715B4" w14:textId="77777777" w:rsidR="00264CC3" w:rsidRPr="001005A8" w:rsidRDefault="00264CC3" w:rsidP="00422D51">
            <w:pPr>
              <w:jc w:val="both"/>
              <w:textAlignment w:val="baseline"/>
              <w:rPr>
                <w:rFonts w:asciiTheme="majorBidi" w:hAnsiTheme="majorBidi" w:cstheme="majorBidi"/>
                <w:sz w:val="16"/>
                <w:szCs w:val="16"/>
                <w:lang w:val="en-GB"/>
              </w:rPr>
            </w:pPr>
          </w:p>
          <w:p w14:paraId="194A89BF" w14:textId="77777777" w:rsidR="00264CC3" w:rsidRPr="001005A8" w:rsidRDefault="00264CC3" w:rsidP="00422D51">
            <w:pPr>
              <w:jc w:val="both"/>
              <w:textAlignment w:val="baseline"/>
              <w:rPr>
                <w:rFonts w:asciiTheme="majorBidi" w:hAnsiTheme="majorBidi" w:cstheme="majorBidi"/>
                <w:sz w:val="16"/>
                <w:szCs w:val="16"/>
                <w:lang w:val="en-GB"/>
              </w:rPr>
            </w:pPr>
          </w:p>
          <w:p w14:paraId="3626BE06" w14:textId="77777777" w:rsidR="00264CC3" w:rsidRPr="001005A8" w:rsidRDefault="00264CC3" w:rsidP="00422D51">
            <w:pPr>
              <w:jc w:val="both"/>
              <w:textAlignment w:val="baseline"/>
              <w:rPr>
                <w:rFonts w:asciiTheme="majorBidi" w:hAnsiTheme="majorBidi" w:cstheme="majorBidi"/>
                <w:sz w:val="16"/>
                <w:szCs w:val="16"/>
                <w:lang w:val="en-GB"/>
              </w:rPr>
            </w:pPr>
          </w:p>
          <w:p w14:paraId="5BA7AF31" w14:textId="77777777" w:rsidR="00264CC3" w:rsidRPr="001005A8" w:rsidRDefault="00264CC3" w:rsidP="00422D51">
            <w:pPr>
              <w:jc w:val="both"/>
              <w:textAlignment w:val="baseline"/>
              <w:rPr>
                <w:rFonts w:asciiTheme="majorBidi" w:hAnsiTheme="majorBidi" w:cstheme="majorBidi"/>
                <w:sz w:val="16"/>
                <w:szCs w:val="16"/>
                <w:lang w:val="en-GB"/>
              </w:rPr>
            </w:pPr>
          </w:p>
          <w:p w14:paraId="47377B3F" w14:textId="77777777" w:rsidR="00264CC3" w:rsidRPr="001005A8" w:rsidRDefault="00264CC3" w:rsidP="00422D51">
            <w:pPr>
              <w:jc w:val="both"/>
              <w:textAlignment w:val="baseline"/>
              <w:rPr>
                <w:rFonts w:asciiTheme="majorBidi" w:hAnsiTheme="majorBidi" w:cstheme="majorBidi"/>
                <w:sz w:val="16"/>
                <w:szCs w:val="16"/>
                <w:lang w:val="en-GB"/>
              </w:rPr>
            </w:pPr>
          </w:p>
          <w:p w14:paraId="66FDE1D8" w14:textId="77777777" w:rsidR="00264CC3" w:rsidRPr="001005A8" w:rsidRDefault="00264CC3" w:rsidP="00422D51">
            <w:pPr>
              <w:jc w:val="both"/>
              <w:textAlignment w:val="baseline"/>
              <w:rPr>
                <w:rFonts w:asciiTheme="majorBidi" w:hAnsiTheme="majorBidi" w:cstheme="majorBidi"/>
                <w:sz w:val="16"/>
                <w:szCs w:val="16"/>
                <w:lang w:val="en-GB"/>
              </w:rPr>
            </w:pPr>
          </w:p>
          <w:p w14:paraId="5E371320" w14:textId="77777777" w:rsidR="00264CC3" w:rsidRPr="001005A8" w:rsidRDefault="00264CC3" w:rsidP="00422D51">
            <w:pPr>
              <w:jc w:val="both"/>
              <w:textAlignment w:val="baseline"/>
              <w:rPr>
                <w:rFonts w:asciiTheme="majorBidi" w:hAnsiTheme="majorBidi" w:cstheme="majorBidi"/>
                <w:sz w:val="16"/>
                <w:szCs w:val="16"/>
                <w:lang w:val="en-GB"/>
              </w:rPr>
            </w:pPr>
          </w:p>
          <w:p w14:paraId="613BA104" w14:textId="77777777" w:rsidR="00264CC3" w:rsidRPr="001005A8" w:rsidRDefault="00264CC3" w:rsidP="00422D51">
            <w:pPr>
              <w:jc w:val="both"/>
              <w:textAlignment w:val="baseline"/>
              <w:rPr>
                <w:rFonts w:asciiTheme="majorBidi" w:hAnsiTheme="majorBidi" w:cstheme="majorBidi"/>
                <w:sz w:val="16"/>
                <w:szCs w:val="16"/>
                <w:lang w:val="en-GB"/>
              </w:rPr>
            </w:pPr>
          </w:p>
          <w:p w14:paraId="6F951E0D" w14:textId="77777777" w:rsidR="00264CC3" w:rsidRPr="001005A8" w:rsidRDefault="00264CC3" w:rsidP="00422D51">
            <w:pPr>
              <w:jc w:val="both"/>
              <w:textAlignment w:val="baseline"/>
              <w:rPr>
                <w:rFonts w:asciiTheme="majorBidi" w:hAnsiTheme="majorBidi" w:cstheme="majorBidi"/>
                <w:sz w:val="16"/>
                <w:szCs w:val="16"/>
                <w:lang w:val="en-GB"/>
              </w:rPr>
            </w:pPr>
          </w:p>
          <w:p w14:paraId="284F06B8" w14:textId="2A74A5AC" w:rsidR="00974AA7" w:rsidRPr="001005A8" w:rsidRDefault="00974AA7" w:rsidP="00422D51">
            <w:pPr>
              <w:jc w:val="both"/>
              <w:textAlignment w:val="baseline"/>
              <w:rPr>
                <w:rFonts w:asciiTheme="majorBidi" w:hAnsiTheme="majorBidi" w:cstheme="majorBidi"/>
                <w:b/>
                <w:bCs/>
                <w:sz w:val="16"/>
                <w:szCs w:val="16"/>
                <w:lang w:val="en-GB"/>
              </w:rPr>
            </w:pPr>
          </w:p>
        </w:tc>
      </w:tr>
      <w:tr w:rsidR="00974AA7" w:rsidRPr="001005A8" w14:paraId="484E3DF1" w14:textId="77777777" w:rsidTr="00873FD8">
        <w:trPr>
          <w:trHeight w:val="24"/>
        </w:trPr>
        <w:tc>
          <w:tcPr>
            <w:tcW w:w="13095" w:type="dxa"/>
            <w:gridSpan w:val="5"/>
            <w:shd w:val="clear" w:color="auto" w:fill="DBE5F1" w:themeFill="accent1" w:themeFillTint="33"/>
            <w:tcMar>
              <w:top w:w="72" w:type="dxa"/>
              <w:left w:w="144" w:type="dxa"/>
              <w:bottom w:w="72" w:type="dxa"/>
              <w:right w:w="144" w:type="dxa"/>
            </w:tcMar>
          </w:tcPr>
          <w:p w14:paraId="6AF15B73" w14:textId="1E4FA728" w:rsidR="00974AA7" w:rsidRPr="001005A8" w:rsidRDefault="00974AA7" w:rsidP="00422D51">
            <w:pPr>
              <w:spacing w:line="259" w:lineRule="auto"/>
              <w:rPr>
                <w:rFonts w:asciiTheme="majorBidi" w:hAnsiTheme="majorBidi" w:cstheme="majorBidi"/>
                <w:sz w:val="16"/>
                <w:szCs w:val="16"/>
                <w:lang w:val="en-GB"/>
              </w:rPr>
            </w:pPr>
            <w:r w:rsidRPr="001005A8">
              <w:rPr>
                <w:rFonts w:asciiTheme="majorBidi" w:hAnsiTheme="majorBidi" w:cstheme="majorBidi"/>
                <w:b/>
                <w:bCs/>
                <w:sz w:val="16"/>
                <w:szCs w:val="16"/>
                <w:lang w:val="en-GB"/>
              </w:rPr>
              <w:t>NATIONAL PRIORITY</w:t>
            </w:r>
            <w:r w:rsidRPr="001005A8">
              <w:rPr>
                <w:rFonts w:asciiTheme="majorBidi" w:hAnsiTheme="majorBidi" w:cstheme="majorBidi"/>
                <w:sz w:val="16"/>
                <w:szCs w:val="16"/>
                <w:lang w:val="en-GB"/>
              </w:rPr>
              <w:t xml:space="preserve"> </w:t>
            </w:r>
            <w:r w:rsidRPr="001005A8">
              <w:rPr>
                <w:rFonts w:asciiTheme="majorBidi" w:hAnsiTheme="majorBidi" w:cstheme="majorBidi"/>
                <w:b/>
                <w:bCs/>
                <w:sz w:val="16"/>
                <w:szCs w:val="16"/>
                <w:lang w:val="en-GB"/>
              </w:rPr>
              <w:t>OR GOAL</w:t>
            </w:r>
            <w:r w:rsidRPr="001005A8">
              <w:rPr>
                <w:rFonts w:asciiTheme="majorBidi" w:hAnsiTheme="majorBidi" w:cstheme="majorBidi"/>
                <w:sz w:val="16"/>
                <w:szCs w:val="16"/>
                <w:lang w:val="en-GB"/>
              </w:rPr>
              <w:t>: National Development Plan (NDP) 2023-2027</w:t>
            </w:r>
            <w:r w:rsidR="0018476B" w:rsidRPr="001005A8">
              <w:rPr>
                <w:rFonts w:asciiTheme="majorBidi" w:hAnsiTheme="majorBidi" w:cstheme="majorBidi"/>
                <w:sz w:val="16"/>
                <w:szCs w:val="16"/>
                <w:lang w:val="en-GB"/>
              </w:rPr>
              <w:t xml:space="preserve"> |</w:t>
            </w:r>
            <w:r w:rsidRPr="001005A8">
              <w:rPr>
                <w:rFonts w:asciiTheme="majorBidi" w:hAnsiTheme="majorBidi" w:cstheme="majorBidi"/>
                <w:sz w:val="16"/>
                <w:szCs w:val="16"/>
                <w:lang w:val="en-GB"/>
              </w:rPr>
              <w:t xml:space="preserve"> </w:t>
            </w:r>
            <w:r w:rsidR="0018476B" w:rsidRPr="001005A8">
              <w:rPr>
                <w:rFonts w:asciiTheme="majorBidi" w:hAnsiTheme="majorBidi" w:cstheme="majorBidi"/>
                <w:sz w:val="16"/>
                <w:szCs w:val="16"/>
                <w:lang w:val="en-GB"/>
              </w:rPr>
              <w:t>P</w:t>
            </w:r>
            <w:r w:rsidRPr="001005A8">
              <w:rPr>
                <w:rFonts w:asciiTheme="majorBidi" w:hAnsiTheme="majorBidi" w:cstheme="majorBidi"/>
                <w:sz w:val="16"/>
                <w:szCs w:val="16"/>
                <w:lang w:val="en-GB"/>
              </w:rPr>
              <w:t>riority 1: Human capital development</w:t>
            </w:r>
          </w:p>
        </w:tc>
      </w:tr>
      <w:tr w:rsidR="00974AA7" w:rsidRPr="001005A8" w14:paraId="4D14A1D8" w14:textId="77777777" w:rsidTr="00873FD8">
        <w:trPr>
          <w:trHeight w:val="53"/>
        </w:trPr>
        <w:tc>
          <w:tcPr>
            <w:tcW w:w="13095" w:type="dxa"/>
            <w:gridSpan w:val="5"/>
            <w:shd w:val="clear" w:color="auto" w:fill="DBE5F1" w:themeFill="accent1" w:themeFillTint="33"/>
            <w:tcMar>
              <w:top w:w="72" w:type="dxa"/>
              <w:left w:w="144" w:type="dxa"/>
              <w:bottom w:w="72" w:type="dxa"/>
              <w:right w:w="144" w:type="dxa"/>
            </w:tcMar>
          </w:tcPr>
          <w:p w14:paraId="7CAB276E" w14:textId="77777777" w:rsidR="00974AA7" w:rsidRPr="001005A8" w:rsidRDefault="00974AA7" w:rsidP="00422D51">
            <w:pPr>
              <w:spacing w:line="259" w:lineRule="auto"/>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COOPERATION FRAMEWORK OUTCOME INVOLVING UNDP #4</w:t>
            </w:r>
            <w:r w:rsidRPr="001005A8">
              <w:rPr>
                <w:rFonts w:asciiTheme="majorBidi" w:hAnsiTheme="majorBidi" w:cstheme="majorBidi"/>
                <w:sz w:val="16"/>
                <w:szCs w:val="16"/>
                <w:lang w:val="en-GB"/>
              </w:rPr>
              <w:t>: Outcome 2: By 2028, more people, especially women, youth and the most vulnerable, participate in and benefit from more effective and inclusive democratic governance anchored in human rights, strengthening prevention capacities and promoting peace and security in the region.</w:t>
            </w:r>
          </w:p>
        </w:tc>
      </w:tr>
      <w:tr w:rsidR="00974AA7" w:rsidRPr="001005A8" w14:paraId="0F44709E" w14:textId="77777777" w:rsidTr="00422D51">
        <w:trPr>
          <w:trHeight w:val="24"/>
        </w:trPr>
        <w:tc>
          <w:tcPr>
            <w:tcW w:w="13095" w:type="dxa"/>
            <w:gridSpan w:val="5"/>
            <w:shd w:val="clear" w:color="auto" w:fill="DBE5F1" w:themeFill="accent1" w:themeFillTint="33"/>
            <w:tcMar>
              <w:top w:w="72" w:type="dxa"/>
              <w:left w:w="144" w:type="dxa"/>
              <w:bottom w:w="72" w:type="dxa"/>
              <w:right w:w="144" w:type="dxa"/>
            </w:tcMar>
          </w:tcPr>
          <w:p w14:paraId="2B91B11D" w14:textId="77777777" w:rsidR="00974AA7" w:rsidRPr="001005A8" w:rsidRDefault="00974AA7" w:rsidP="00422D51">
            <w:pPr>
              <w:rPr>
                <w:rFonts w:asciiTheme="majorBidi" w:hAnsiTheme="majorBidi" w:cstheme="majorBidi"/>
                <w:sz w:val="16"/>
                <w:szCs w:val="16"/>
                <w:lang w:val="en-GB"/>
              </w:rPr>
            </w:pPr>
            <w:r w:rsidRPr="001005A8">
              <w:rPr>
                <w:rFonts w:asciiTheme="majorBidi" w:hAnsiTheme="majorBidi" w:cstheme="majorBidi"/>
                <w:b/>
                <w:bCs/>
                <w:sz w:val="16"/>
                <w:szCs w:val="16"/>
                <w:lang w:val="en-GB"/>
              </w:rPr>
              <w:t>RELATED STRATEGIC PLAN OUTCOME</w:t>
            </w:r>
            <w:r w:rsidRPr="001005A8">
              <w:rPr>
                <w:rFonts w:asciiTheme="majorBidi" w:hAnsiTheme="majorBidi" w:cstheme="majorBidi"/>
                <w:sz w:val="16"/>
                <w:szCs w:val="16"/>
                <w:lang w:val="en-GB"/>
              </w:rPr>
              <w:t>:</w:t>
            </w:r>
            <w:r w:rsidRPr="001005A8">
              <w:rPr>
                <w:rFonts w:asciiTheme="majorBidi" w:hAnsiTheme="majorBidi" w:cstheme="majorBidi"/>
                <w:b/>
                <w:bCs/>
                <w:sz w:val="16"/>
                <w:szCs w:val="16"/>
                <w:lang w:val="en-GB"/>
              </w:rPr>
              <w:t xml:space="preserve"> </w:t>
            </w:r>
            <w:r w:rsidRPr="001005A8">
              <w:rPr>
                <w:rFonts w:asciiTheme="majorBidi" w:hAnsiTheme="majorBidi" w:cstheme="majorBidi"/>
                <w:color w:val="000000" w:themeColor="text1"/>
                <w:sz w:val="16"/>
                <w:szCs w:val="16"/>
                <w:lang w:val="en-GB"/>
              </w:rPr>
              <w:t xml:space="preserve">Outcome 2. </w:t>
            </w:r>
            <w:r w:rsidRPr="001005A8">
              <w:rPr>
                <w:rFonts w:asciiTheme="majorBidi" w:hAnsiTheme="majorBidi" w:cstheme="majorBidi"/>
                <w:sz w:val="16"/>
                <w:szCs w:val="16"/>
                <w:lang w:val="en-GB"/>
              </w:rPr>
              <w:t>No one left behind centring on equitable access to opportunities and a rights-based approach to human agency and human development.</w:t>
            </w:r>
          </w:p>
        </w:tc>
      </w:tr>
      <w:tr w:rsidR="00D6475F" w:rsidRPr="001005A8" w14:paraId="0BDDF07C" w14:textId="77777777" w:rsidTr="0064612E">
        <w:trPr>
          <w:trHeight w:val="458"/>
        </w:trPr>
        <w:tc>
          <w:tcPr>
            <w:tcW w:w="2785" w:type="dxa"/>
            <w:vMerge w:val="restart"/>
            <w:shd w:val="clear" w:color="auto" w:fill="auto"/>
            <w:tcMar>
              <w:top w:w="72" w:type="dxa"/>
              <w:left w:w="144" w:type="dxa"/>
              <w:bottom w:w="72" w:type="dxa"/>
              <w:right w:w="144" w:type="dxa"/>
            </w:tcMar>
          </w:tcPr>
          <w:p w14:paraId="4FA11106" w14:textId="73E686C1" w:rsidR="00D6475F" w:rsidRPr="001005A8" w:rsidRDefault="00D6475F"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Indicator 4.1</w:t>
            </w:r>
            <w:r w:rsidRPr="001005A8">
              <w:rPr>
                <w:rFonts w:asciiTheme="majorBidi" w:hAnsiTheme="majorBidi" w:cstheme="majorBidi"/>
                <w:sz w:val="16"/>
                <w:szCs w:val="16"/>
                <w:lang w:val="en-GB"/>
              </w:rPr>
              <w:t>. Proportion of local governments that adopt and implement local disaster risk reduction strategies in line with national disaster risk reduction strategies.</w:t>
            </w:r>
          </w:p>
          <w:p w14:paraId="7116F2C9" w14:textId="7ECA929D" w:rsidR="00D6475F" w:rsidRPr="001005A8" w:rsidRDefault="00D6475F"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Baseline (2015)</w:t>
            </w:r>
            <w:r w:rsidRPr="001005A8">
              <w:rPr>
                <w:rFonts w:asciiTheme="majorBidi" w:hAnsiTheme="majorBidi" w:cstheme="majorBidi"/>
                <w:sz w:val="16"/>
                <w:szCs w:val="16"/>
                <w:lang w:val="en-GB"/>
              </w:rPr>
              <w:t>: 44%</w:t>
            </w:r>
          </w:p>
          <w:p w14:paraId="186D0088" w14:textId="7CB063EB" w:rsidR="00D6475F" w:rsidRPr="001005A8" w:rsidRDefault="00D6475F"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Target (2028)</w:t>
            </w:r>
            <w:r w:rsidRPr="001005A8">
              <w:rPr>
                <w:rFonts w:asciiTheme="majorBidi" w:hAnsiTheme="majorBidi" w:cstheme="majorBidi"/>
                <w:sz w:val="16"/>
                <w:szCs w:val="16"/>
                <w:lang w:val="en-GB"/>
              </w:rPr>
              <w:t>: 55%</w:t>
            </w:r>
          </w:p>
          <w:p w14:paraId="486FDD49" w14:textId="77777777" w:rsidR="00D6475F" w:rsidRPr="001005A8" w:rsidRDefault="00D6475F" w:rsidP="00422D51">
            <w:pPr>
              <w:jc w:val="both"/>
              <w:rPr>
                <w:rFonts w:asciiTheme="majorBidi" w:hAnsiTheme="majorBidi" w:cstheme="majorBidi"/>
                <w:b/>
                <w:bCs/>
                <w:sz w:val="16"/>
                <w:szCs w:val="16"/>
                <w:lang w:val="en-GB"/>
              </w:rPr>
            </w:pPr>
          </w:p>
          <w:p w14:paraId="0FB6AC43" w14:textId="77777777" w:rsidR="00D6475F" w:rsidRPr="001005A8" w:rsidRDefault="00D6475F"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Indicator 4.2</w:t>
            </w:r>
            <w:r w:rsidRPr="001005A8">
              <w:rPr>
                <w:rFonts w:asciiTheme="majorBidi" w:hAnsiTheme="majorBidi" w:cstheme="majorBidi"/>
                <w:sz w:val="16"/>
                <w:szCs w:val="16"/>
                <w:lang w:val="en-GB"/>
              </w:rPr>
              <w:t>: The country's legal and institutional framework is in place to promote, enforce and monitor equality and non-discrimination on the bases of sex.</w:t>
            </w:r>
          </w:p>
          <w:p w14:paraId="6DFB4940" w14:textId="77777777" w:rsidR="00D6475F" w:rsidRPr="001005A8" w:rsidRDefault="00D6475F"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Baseline (2022)</w:t>
            </w:r>
            <w:r w:rsidRPr="001005A8">
              <w:rPr>
                <w:rFonts w:asciiTheme="majorBidi" w:hAnsiTheme="majorBidi" w:cstheme="majorBidi"/>
                <w:sz w:val="16"/>
                <w:szCs w:val="16"/>
                <w:lang w:val="en-GB"/>
              </w:rPr>
              <w:t>: Low</w:t>
            </w:r>
            <w:r w:rsidRPr="001005A8">
              <w:rPr>
                <w:rStyle w:val="FootnoteReference"/>
                <w:rFonts w:asciiTheme="majorBidi" w:hAnsiTheme="majorBidi"/>
                <w:sz w:val="16"/>
                <w:szCs w:val="16"/>
                <w:lang w:val="en-GB"/>
              </w:rPr>
              <w:footnoteReference w:id="24"/>
            </w:r>
          </w:p>
          <w:p w14:paraId="5C35FDF5" w14:textId="77777777" w:rsidR="00D6475F" w:rsidRPr="001005A8" w:rsidRDefault="00D6475F"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Target (2028)</w:t>
            </w:r>
            <w:r w:rsidRPr="001005A8">
              <w:rPr>
                <w:rFonts w:asciiTheme="majorBidi" w:hAnsiTheme="majorBidi" w:cstheme="majorBidi"/>
                <w:sz w:val="16"/>
                <w:szCs w:val="16"/>
                <w:lang w:val="en-GB"/>
              </w:rPr>
              <w:t>: High</w:t>
            </w:r>
          </w:p>
        </w:tc>
        <w:tc>
          <w:tcPr>
            <w:tcW w:w="1791" w:type="dxa"/>
            <w:vMerge w:val="restart"/>
            <w:shd w:val="clear" w:color="auto" w:fill="auto"/>
          </w:tcPr>
          <w:p w14:paraId="1E5C7473" w14:textId="77777777" w:rsidR="00D6475F" w:rsidRPr="001005A8" w:rsidRDefault="00D6475F"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Source</w:t>
            </w:r>
            <w:r w:rsidRPr="001005A8">
              <w:rPr>
                <w:rFonts w:asciiTheme="majorBidi" w:hAnsiTheme="majorBidi" w:cstheme="majorBidi"/>
                <w:sz w:val="16"/>
                <w:szCs w:val="16"/>
                <w:lang w:val="en-GB"/>
              </w:rPr>
              <w:t>: MINSA, MINFIN, MINAMB</w:t>
            </w:r>
          </w:p>
          <w:p w14:paraId="5BEC2E73" w14:textId="77777777" w:rsidR="00D6475F" w:rsidRPr="001005A8" w:rsidRDefault="00D6475F"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Frequency</w:t>
            </w:r>
            <w:r w:rsidRPr="001005A8">
              <w:rPr>
                <w:rFonts w:asciiTheme="majorBidi" w:hAnsiTheme="majorBidi" w:cstheme="majorBidi"/>
                <w:sz w:val="16"/>
                <w:szCs w:val="16"/>
                <w:lang w:val="en-GB"/>
              </w:rPr>
              <w:t>: Annual</w:t>
            </w:r>
          </w:p>
          <w:p w14:paraId="0EBEE758" w14:textId="77777777" w:rsidR="00D6475F" w:rsidRPr="001005A8" w:rsidRDefault="00D6475F"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Responsible</w:t>
            </w:r>
            <w:r w:rsidRPr="001005A8">
              <w:rPr>
                <w:rFonts w:asciiTheme="majorBidi" w:hAnsiTheme="majorBidi" w:cstheme="majorBidi"/>
                <w:sz w:val="16"/>
                <w:szCs w:val="16"/>
                <w:lang w:val="en-GB"/>
              </w:rPr>
              <w:t>: UNDP</w:t>
            </w:r>
          </w:p>
          <w:p w14:paraId="4CBDCE38" w14:textId="77777777" w:rsidR="00D6475F" w:rsidRPr="001005A8" w:rsidRDefault="00D6475F" w:rsidP="00422D51">
            <w:pPr>
              <w:jc w:val="both"/>
              <w:rPr>
                <w:rFonts w:asciiTheme="majorBidi" w:hAnsiTheme="majorBidi" w:cstheme="majorBidi"/>
                <w:sz w:val="16"/>
                <w:szCs w:val="16"/>
                <w:lang w:val="en-GB"/>
              </w:rPr>
            </w:pPr>
          </w:p>
          <w:p w14:paraId="3B37CC74" w14:textId="77777777" w:rsidR="00D6475F" w:rsidRPr="001005A8" w:rsidRDefault="00D6475F" w:rsidP="00422D51">
            <w:pPr>
              <w:jc w:val="both"/>
              <w:rPr>
                <w:rFonts w:asciiTheme="majorBidi" w:hAnsiTheme="majorBidi" w:cstheme="majorBidi"/>
                <w:b/>
                <w:bCs/>
                <w:sz w:val="16"/>
                <w:szCs w:val="16"/>
                <w:lang w:val="en-GB"/>
              </w:rPr>
            </w:pPr>
          </w:p>
          <w:p w14:paraId="4F98421A" w14:textId="77777777" w:rsidR="00D6475F" w:rsidRPr="001005A8" w:rsidRDefault="00D6475F" w:rsidP="00422D51">
            <w:pPr>
              <w:jc w:val="both"/>
              <w:rPr>
                <w:rFonts w:asciiTheme="majorBidi" w:hAnsiTheme="majorBidi" w:cstheme="majorBidi"/>
                <w:b/>
                <w:bCs/>
                <w:sz w:val="16"/>
                <w:szCs w:val="16"/>
                <w:lang w:val="en-GB"/>
              </w:rPr>
            </w:pPr>
          </w:p>
          <w:p w14:paraId="1F2CC487" w14:textId="77777777" w:rsidR="00D6475F" w:rsidRPr="001005A8" w:rsidRDefault="00D6475F" w:rsidP="00422D51">
            <w:pPr>
              <w:jc w:val="both"/>
              <w:rPr>
                <w:rFonts w:asciiTheme="majorBidi" w:hAnsiTheme="majorBidi" w:cstheme="majorBidi"/>
                <w:b/>
                <w:bCs/>
                <w:sz w:val="16"/>
                <w:szCs w:val="16"/>
                <w:lang w:val="en-GB"/>
              </w:rPr>
            </w:pPr>
          </w:p>
          <w:p w14:paraId="137C23CC" w14:textId="77777777" w:rsidR="00D6475F" w:rsidRPr="001005A8" w:rsidRDefault="00D6475F"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Source</w:t>
            </w:r>
            <w:r w:rsidRPr="001005A8">
              <w:rPr>
                <w:rFonts w:asciiTheme="majorBidi" w:hAnsiTheme="majorBidi" w:cstheme="majorBidi"/>
                <w:sz w:val="16"/>
                <w:szCs w:val="16"/>
                <w:lang w:val="en-GB"/>
              </w:rPr>
              <w:t>: MINJUSDH</w:t>
            </w:r>
          </w:p>
          <w:p w14:paraId="1C75F7CB" w14:textId="77777777" w:rsidR="00D6475F" w:rsidRPr="001005A8" w:rsidRDefault="00D6475F"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Frequency</w:t>
            </w:r>
            <w:r w:rsidRPr="001005A8">
              <w:rPr>
                <w:rFonts w:asciiTheme="majorBidi" w:hAnsiTheme="majorBidi" w:cstheme="majorBidi"/>
                <w:sz w:val="16"/>
                <w:szCs w:val="16"/>
                <w:lang w:val="en-GB"/>
              </w:rPr>
              <w:t>: Annual</w:t>
            </w:r>
          </w:p>
          <w:p w14:paraId="74AFE070" w14:textId="77777777" w:rsidR="00D6475F" w:rsidRPr="001005A8" w:rsidRDefault="00D6475F" w:rsidP="00422D51">
            <w:pPr>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Responsible</w:t>
            </w:r>
            <w:r w:rsidRPr="001005A8">
              <w:rPr>
                <w:rFonts w:asciiTheme="majorBidi" w:hAnsiTheme="majorBidi" w:cstheme="majorBidi"/>
                <w:sz w:val="16"/>
                <w:szCs w:val="16"/>
                <w:lang w:val="en-GB"/>
              </w:rPr>
              <w:t>: UNDP</w:t>
            </w:r>
          </w:p>
          <w:p w14:paraId="1A4223A6" w14:textId="77777777" w:rsidR="00D6475F" w:rsidRPr="001005A8" w:rsidRDefault="00D6475F" w:rsidP="00422D51">
            <w:pPr>
              <w:jc w:val="both"/>
              <w:rPr>
                <w:rFonts w:asciiTheme="majorBidi" w:hAnsiTheme="majorBidi" w:cstheme="majorBidi"/>
                <w:sz w:val="16"/>
                <w:szCs w:val="16"/>
                <w:lang w:val="en-GB"/>
              </w:rPr>
            </w:pPr>
          </w:p>
        </w:tc>
        <w:tc>
          <w:tcPr>
            <w:tcW w:w="4779" w:type="dxa"/>
            <w:shd w:val="clear" w:color="auto" w:fill="auto"/>
            <w:tcMar>
              <w:top w:w="72" w:type="dxa"/>
              <w:left w:w="144" w:type="dxa"/>
              <w:bottom w:w="72" w:type="dxa"/>
              <w:right w:w="144" w:type="dxa"/>
            </w:tcMar>
          </w:tcPr>
          <w:p w14:paraId="765E4DA0" w14:textId="77777777" w:rsidR="00D6475F" w:rsidRPr="001005A8" w:rsidRDefault="00D6475F" w:rsidP="00422D51">
            <w:pPr>
              <w:jc w:val="both"/>
              <w:rPr>
                <w:rFonts w:asciiTheme="majorBidi" w:hAnsiTheme="majorBidi" w:cstheme="majorBidi"/>
                <w:b/>
                <w:bCs/>
                <w:color w:val="000000" w:themeColor="text1"/>
                <w:sz w:val="16"/>
                <w:szCs w:val="16"/>
                <w:lang w:val="en-GB"/>
              </w:rPr>
            </w:pPr>
            <w:r w:rsidRPr="001005A8">
              <w:rPr>
                <w:rFonts w:asciiTheme="majorBidi" w:hAnsiTheme="majorBidi" w:cstheme="majorBidi"/>
                <w:b/>
                <w:bCs/>
                <w:color w:val="000000" w:themeColor="text1"/>
                <w:sz w:val="16"/>
                <w:szCs w:val="16"/>
                <w:lang w:val="en-GB"/>
              </w:rPr>
              <w:t>Output 4.1. National and sub-national institutions enabled to design and implement inclusive, gender-responsive policies to enhance participation in decision-making, promote employment and strengthen resilience to climate change.</w:t>
            </w:r>
          </w:p>
          <w:p w14:paraId="1AD4E76B" w14:textId="77777777" w:rsidR="00D6475F" w:rsidRPr="001005A8" w:rsidRDefault="00D6475F" w:rsidP="00422D51">
            <w:pPr>
              <w:jc w:val="both"/>
              <w:rPr>
                <w:rFonts w:asciiTheme="majorBidi" w:hAnsiTheme="majorBidi" w:cstheme="majorBidi"/>
                <w:sz w:val="16"/>
                <w:szCs w:val="16"/>
                <w:lang w:val="en-GB"/>
              </w:rPr>
            </w:pPr>
          </w:p>
          <w:p w14:paraId="509CD936" w14:textId="66AB5834" w:rsidR="00D6475F" w:rsidRPr="001005A8" w:rsidRDefault="00D6475F" w:rsidP="00422D51">
            <w:pPr>
              <w:pStyle w:val="ListParagraph"/>
              <w:ind w:left="0"/>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4.1.1.</w:t>
            </w:r>
            <w:r w:rsidRPr="001005A8">
              <w:rPr>
                <w:rFonts w:asciiTheme="majorBidi" w:hAnsiTheme="majorBidi" w:cstheme="majorBidi"/>
                <w:sz w:val="16"/>
                <w:szCs w:val="16"/>
                <w:lang w:val="en-GB"/>
              </w:rPr>
              <w:t xml:space="preserve"> Number of CSOs gaining enhanced participation in decision-making. </w:t>
            </w:r>
            <w:r w:rsidRPr="001005A8">
              <w:rPr>
                <w:rFonts w:asciiTheme="majorBidi" w:hAnsiTheme="majorBidi" w:cstheme="majorBidi"/>
                <w:b/>
                <w:bCs/>
                <w:sz w:val="16"/>
                <w:szCs w:val="16"/>
                <w:lang w:val="en-GB"/>
              </w:rPr>
              <w:t>Baseline (2022)</w:t>
            </w:r>
            <w:r w:rsidRPr="001005A8">
              <w:rPr>
                <w:rFonts w:asciiTheme="majorBidi" w:hAnsiTheme="majorBidi" w:cstheme="majorBidi"/>
                <w:sz w:val="16"/>
                <w:szCs w:val="16"/>
                <w:lang w:val="en-GB"/>
              </w:rPr>
              <w:t xml:space="preserve">: 5; </w:t>
            </w:r>
            <w:r w:rsidRPr="001005A8">
              <w:rPr>
                <w:rFonts w:asciiTheme="majorBidi" w:hAnsiTheme="majorBidi" w:cstheme="majorBidi"/>
                <w:b/>
                <w:bCs/>
                <w:sz w:val="16"/>
                <w:szCs w:val="16"/>
                <w:lang w:val="en-GB"/>
              </w:rPr>
              <w:t>Target (2028)</w:t>
            </w:r>
            <w:r w:rsidRPr="001005A8">
              <w:rPr>
                <w:rFonts w:asciiTheme="majorBidi" w:hAnsiTheme="majorBidi" w:cstheme="majorBidi"/>
                <w:sz w:val="16"/>
                <w:szCs w:val="16"/>
                <w:lang w:val="en-GB"/>
              </w:rPr>
              <w:t>: 15</w:t>
            </w:r>
          </w:p>
          <w:p w14:paraId="7612E526" w14:textId="77777777" w:rsidR="00D6475F" w:rsidRPr="001005A8" w:rsidRDefault="00D6475F" w:rsidP="00422D51">
            <w:pPr>
              <w:pStyle w:val="ListParagraph"/>
              <w:ind w:left="0"/>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Source</w:t>
            </w:r>
            <w:r w:rsidRPr="001005A8">
              <w:rPr>
                <w:rFonts w:asciiTheme="majorBidi" w:hAnsiTheme="majorBidi" w:cstheme="majorBidi"/>
                <w:sz w:val="16"/>
                <w:szCs w:val="16"/>
                <w:lang w:val="en-GB"/>
              </w:rPr>
              <w:t>: MINJUSDH, Ministry of Social Action, Family and Women Empowerment (MASFAMU), CSOs</w:t>
            </w:r>
          </w:p>
          <w:p w14:paraId="2C45CC27" w14:textId="357E157E" w:rsidR="00D6475F" w:rsidRPr="001005A8" w:rsidRDefault="00D6475F" w:rsidP="00422D51">
            <w:pPr>
              <w:pStyle w:val="ListParagraph"/>
              <w:ind w:left="0"/>
              <w:jc w:val="both"/>
              <w:rPr>
                <w:rFonts w:asciiTheme="majorBidi" w:hAnsiTheme="majorBidi" w:cstheme="majorBidi"/>
                <w:sz w:val="16"/>
                <w:szCs w:val="16"/>
                <w:lang w:val="en-GB"/>
              </w:rPr>
            </w:pPr>
            <w:r w:rsidRPr="001005A8">
              <w:rPr>
                <w:rFonts w:asciiTheme="majorBidi" w:hAnsiTheme="majorBidi" w:cstheme="majorBidi"/>
                <w:b/>
                <w:bCs/>
                <w:sz w:val="16"/>
                <w:szCs w:val="16"/>
                <w:lang w:val="en-GB"/>
              </w:rPr>
              <w:t>Frequency</w:t>
            </w:r>
            <w:r w:rsidRPr="001005A8">
              <w:rPr>
                <w:rFonts w:asciiTheme="majorBidi" w:hAnsiTheme="majorBidi" w:cstheme="majorBidi"/>
                <w:sz w:val="16"/>
                <w:szCs w:val="16"/>
                <w:lang w:val="en-GB"/>
              </w:rPr>
              <w:t>: Annual</w:t>
            </w:r>
          </w:p>
          <w:p w14:paraId="0CB5BE5A" w14:textId="77777777" w:rsidR="00D6475F" w:rsidRPr="001005A8" w:rsidRDefault="00D6475F" w:rsidP="00422D51">
            <w:pPr>
              <w:pStyle w:val="ListParagraph"/>
              <w:ind w:left="0"/>
              <w:jc w:val="both"/>
              <w:rPr>
                <w:rFonts w:asciiTheme="majorBidi" w:hAnsiTheme="majorBidi" w:cstheme="majorBidi"/>
                <w:color w:val="FF0000"/>
                <w:sz w:val="16"/>
                <w:szCs w:val="16"/>
                <w:lang w:val="en-GB"/>
              </w:rPr>
            </w:pPr>
          </w:p>
          <w:p w14:paraId="33542F6E" w14:textId="59136E5A" w:rsidR="00D6475F" w:rsidRPr="001005A8" w:rsidRDefault="00D6475F"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4.1.2.</w:t>
            </w:r>
            <w:r w:rsidRPr="001005A8">
              <w:rPr>
                <w:rFonts w:asciiTheme="majorBidi" w:hAnsiTheme="majorBidi" w:cstheme="majorBidi"/>
                <w:color w:val="000000" w:themeColor="text1"/>
                <w:sz w:val="16"/>
                <w:szCs w:val="16"/>
                <w:lang w:val="en-GB"/>
              </w:rPr>
              <w:t xml:space="preserve"> Number of policies and regulatory and institutional frameworks developed and adopted by public and private actors to align public and private finance with the Sustainable Development Goals. </w:t>
            </w:r>
          </w:p>
          <w:p w14:paraId="3FAC534C" w14:textId="77777777" w:rsidR="00D6475F" w:rsidRPr="001005A8" w:rsidRDefault="00D6475F" w:rsidP="00422D51">
            <w:pPr>
              <w:pStyle w:val="ListParagraph"/>
              <w:ind w:left="0"/>
              <w:jc w:val="both"/>
              <w:rPr>
                <w:rFonts w:asciiTheme="majorBidi" w:hAnsiTheme="majorBidi" w:cstheme="majorBidi"/>
                <w:lang w:val="en-GB"/>
              </w:rPr>
            </w:pPr>
            <w:r w:rsidRPr="001005A8">
              <w:rPr>
                <w:rFonts w:asciiTheme="majorBidi" w:hAnsiTheme="majorBidi" w:cstheme="majorBidi"/>
                <w:b/>
                <w:bCs/>
                <w:color w:val="000000" w:themeColor="text1"/>
                <w:sz w:val="16"/>
                <w:szCs w:val="16"/>
                <w:lang w:val="en-GB"/>
              </w:rPr>
              <w:t>Baseline (2022)</w:t>
            </w:r>
            <w:r w:rsidRPr="001005A8">
              <w:rPr>
                <w:rFonts w:asciiTheme="majorBidi" w:hAnsiTheme="majorBidi" w:cstheme="majorBidi"/>
                <w:color w:val="000000" w:themeColor="text1"/>
                <w:sz w:val="16"/>
                <w:szCs w:val="16"/>
                <w:lang w:val="en-GB"/>
              </w:rPr>
              <w:t xml:space="preserve">: 0; </w:t>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 xml:space="preserve">: 3 </w:t>
            </w:r>
          </w:p>
          <w:p w14:paraId="04D7674A" w14:textId="77777777" w:rsidR="00D6475F" w:rsidRPr="001005A8" w:rsidRDefault="00D6475F"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lastRenderedPageBreak/>
              <w:t>Source</w:t>
            </w:r>
            <w:r w:rsidRPr="001005A8">
              <w:rPr>
                <w:rFonts w:asciiTheme="majorBidi" w:hAnsiTheme="majorBidi" w:cstheme="majorBidi"/>
                <w:color w:val="000000" w:themeColor="text1"/>
                <w:sz w:val="16"/>
                <w:szCs w:val="16"/>
                <w:lang w:val="en-GB"/>
              </w:rPr>
              <w:t>: MINFIN, AGT</w:t>
            </w:r>
          </w:p>
          <w:p w14:paraId="51045743" w14:textId="065E8C0C" w:rsidR="00D6475F" w:rsidRPr="001005A8" w:rsidRDefault="00D6475F"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Frequency</w:t>
            </w:r>
            <w:r w:rsidRPr="001005A8">
              <w:rPr>
                <w:rFonts w:asciiTheme="majorBidi" w:hAnsiTheme="majorBidi" w:cstheme="majorBidi"/>
                <w:color w:val="000000" w:themeColor="text1"/>
                <w:sz w:val="16"/>
                <w:szCs w:val="16"/>
                <w:lang w:val="en-GB"/>
              </w:rPr>
              <w:t>: Annual</w:t>
            </w:r>
          </w:p>
          <w:p w14:paraId="10D4856A" w14:textId="77777777" w:rsidR="00D6475F" w:rsidRPr="001005A8" w:rsidRDefault="00D6475F"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 xml:space="preserve">4.1.3. </w:t>
            </w:r>
            <w:r w:rsidRPr="001005A8">
              <w:rPr>
                <w:rFonts w:asciiTheme="majorBidi" w:hAnsiTheme="majorBidi" w:cstheme="majorBidi"/>
                <w:color w:val="000000" w:themeColor="text1"/>
                <w:sz w:val="16"/>
                <w:szCs w:val="16"/>
                <w:lang w:val="en-GB"/>
              </w:rPr>
              <w:t>Number of national and subnational disaster risk reduction strategies, and preparedness, contingency, response and recovery plans adopted, and monitored.</w:t>
            </w:r>
          </w:p>
          <w:p w14:paraId="440EE629" w14:textId="77777777" w:rsidR="00D6475F" w:rsidRPr="001005A8" w:rsidRDefault="00D6475F"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Baseline (2022)</w:t>
            </w:r>
            <w:r w:rsidRPr="001005A8">
              <w:rPr>
                <w:rFonts w:asciiTheme="majorBidi" w:hAnsiTheme="majorBidi" w:cstheme="majorBidi"/>
                <w:color w:val="000000" w:themeColor="text1"/>
                <w:sz w:val="16"/>
                <w:szCs w:val="16"/>
                <w:lang w:val="en-GB"/>
              </w:rPr>
              <w:t xml:space="preserve">: 0; </w:t>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 5</w:t>
            </w:r>
          </w:p>
          <w:p w14:paraId="109BFFF1" w14:textId="77777777" w:rsidR="00D6475F" w:rsidRPr="001005A8" w:rsidRDefault="00D6475F" w:rsidP="00422D51">
            <w:pPr>
              <w:pStyle w:val="ListParagraph"/>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Source</w:t>
            </w:r>
            <w:r w:rsidRPr="001005A8">
              <w:rPr>
                <w:rFonts w:asciiTheme="majorBidi" w:hAnsiTheme="majorBidi" w:cstheme="majorBidi"/>
                <w:color w:val="000000" w:themeColor="text1"/>
                <w:sz w:val="16"/>
                <w:szCs w:val="16"/>
                <w:lang w:val="en-GB"/>
              </w:rPr>
              <w:t>: MININT</w:t>
            </w:r>
          </w:p>
          <w:p w14:paraId="0AA084A5" w14:textId="5CB559C6" w:rsidR="00D6475F" w:rsidRPr="001005A8" w:rsidRDefault="00D6475F" w:rsidP="00422D51">
            <w:pPr>
              <w:pStyle w:val="ListParagraph"/>
              <w:ind w:left="0"/>
              <w:jc w:val="both"/>
              <w:rPr>
                <w:rFonts w:asciiTheme="majorBidi" w:hAnsiTheme="majorBidi" w:cstheme="majorBidi"/>
                <w:lang w:val="en-GB"/>
              </w:rPr>
            </w:pPr>
            <w:r w:rsidRPr="001005A8">
              <w:rPr>
                <w:rFonts w:asciiTheme="majorBidi" w:hAnsiTheme="majorBidi" w:cstheme="majorBidi"/>
                <w:b/>
                <w:bCs/>
                <w:color w:val="000000" w:themeColor="text1"/>
                <w:sz w:val="16"/>
                <w:szCs w:val="16"/>
                <w:lang w:val="en-GB"/>
              </w:rPr>
              <w:t>Frequency</w:t>
            </w:r>
            <w:r w:rsidRPr="001005A8">
              <w:rPr>
                <w:rFonts w:asciiTheme="majorBidi" w:hAnsiTheme="majorBidi" w:cstheme="majorBidi"/>
                <w:color w:val="000000" w:themeColor="text1"/>
                <w:sz w:val="16"/>
                <w:szCs w:val="16"/>
                <w:lang w:val="en-GB"/>
              </w:rPr>
              <w:t>: Annual</w:t>
            </w:r>
          </w:p>
        </w:tc>
        <w:tc>
          <w:tcPr>
            <w:tcW w:w="1980" w:type="dxa"/>
            <w:vMerge w:val="restart"/>
            <w:shd w:val="clear" w:color="auto" w:fill="auto"/>
          </w:tcPr>
          <w:p w14:paraId="4B0D67F0" w14:textId="1E57FCBE" w:rsidR="00D6475F" w:rsidRPr="001005A8" w:rsidRDefault="00D6475F" w:rsidP="00422D51">
            <w:pPr>
              <w:jc w:val="both"/>
              <w:rPr>
                <w:rFonts w:asciiTheme="majorBidi" w:hAnsiTheme="majorBidi"/>
                <w:sz w:val="16"/>
                <w:lang w:val="en-GB"/>
              </w:rPr>
            </w:pPr>
            <w:r w:rsidRPr="001005A8">
              <w:rPr>
                <w:rFonts w:asciiTheme="majorBidi" w:hAnsiTheme="majorBidi"/>
                <w:sz w:val="16"/>
                <w:lang w:val="en-GB"/>
              </w:rPr>
              <w:lastRenderedPageBreak/>
              <w:t xml:space="preserve">MINJUSDH, MININT, MINFIN, MASFAMU, MINSA, MINAMB, Ministry of Administration of Territory (MAT), </w:t>
            </w:r>
            <w:r w:rsidRPr="001005A8">
              <w:rPr>
                <w:rFonts w:asciiTheme="majorBidi" w:hAnsiTheme="majorBidi" w:cstheme="majorBidi"/>
                <w:sz w:val="16"/>
                <w:szCs w:val="16"/>
                <w:lang w:val="en-GB"/>
              </w:rPr>
              <w:t xml:space="preserve">National Assembly, </w:t>
            </w:r>
            <w:r w:rsidRPr="001005A8">
              <w:rPr>
                <w:rFonts w:asciiTheme="majorBidi" w:hAnsiTheme="majorBidi"/>
                <w:sz w:val="16"/>
                <w:lang w:val="en-GB"/>
              </w:rPr>
              <w:t xml:space="preserve"> CSOs</w:t>
            </w:r>
          </w:p>
          <w:p w14:paraId="5C592C4A" w14:textId="77777777" w:rsidR="00D6475F" w:rsidRPr="001005A8" w:rsidRDefault="00D6475F" w:rsidP="00422D51">
            <w:pPr>
              <w:jc w:val="both"/>
              <w:rPr>
                <w:rFonts w:asciiTheme="majorBidi" w:hAnsiTheme="majorBidi"/>
                <w:sz w:val="16"/>
                <w:lang w:val="en-GB"/>
              </w:rPr>
            </w:pPr>
          </w:p>
          <w:p w14:paraId="6405055F" w14:textId="77777777" w:rsidR="00D6475F" w:rsidRPr="001005A8" w:rsidRDefault="00D6475F" w:rsidP="00422D51">
            <w:pPr>
              <w:jc w:val="both"/>
              <w:rPr>
                <w:rFonts w:asciiTheme="majorBidi" w:hAnsiTheme="majorBidi"/>
                <w:sz w:val="16"/>
                <w:lang w:val="en-GB"/>
              </w:rPr>
            </w:pPr>
          </w:p>
          <w:p w14:paraId="2FABFC55" w14:textId="77777777" w:rsidR="00D6475F" w:rsidRPr="001005A8" w:rsidRDefault="00D6475F" w:rsidP="00422D51">
            <w:pPr>
              <w:jc w:val="both"/>
              <w:rPr>
                <w:rFonts w:asciiTheme="majorBidi" w:hAnsiTheme="majorBidi"/>
                <w:sz w:val="16"/>
                <w:lang w:val="en-GB"/>
              </w:rPr>
            </w:pPr>
          </w:p>
          <w:p w14:paraId="73FC1527" w14:textId="77777777" w:rsidR="00D6475F" w:rsidRPr="001005A8" w:rsidRDefault="00D6475F" w:rsidP="00422D51">
            <w:pPr>
              <w:jc w:val="both"/>
              <w:rPr>
                <w:rFonts w:asciiTheme="majorBidi" w:hAnsiTheme="majorBidi"/>
                <w:sz w:val="16"/>
                <w:lang w:val="en-GB"/>
              </w:rPr>
            </w:pPr>
          </w:p>
          <w:p w14:paraId="28C475ED" w14:textId="77777777" w:rsidR="00D6475F" w:rsidRPr="001005A8" w:rsidRDefault="00D6475F" w:rsidP="00422D51">
            <w:pPr>
              <w:jc w:val="both"/>
              <w:rPr>
                <w:rFonts w:asciiTheme="majorBidi" w:hAnsiTheme="majorBidi"/>
                <w:sz w:val="16"/>
                <w:lang w:val="en-GB"/>
              </w:rPr>
            </w:pPr>
          </w:p>
          <w:p w14:paraId="13ECC936" w14:textId="77777777" w:rsidR="00D6475F" w:rsidRPr="001005A8" w:rsidRDefault="00D6475F" w:rsidP="00422D51">
            <w:pPr>
              <w:jc w:val="both"/>
              <w:rPr>
                <w:rFonts w:asciiTheme="majorBidi" w:hAnsiTheme="majorBidi"/>
                <w:sz w:val="16"/>
                <w:lang w:val="en-GB"/>
              </w:rPr>
            </w:pPr>
          </w:p>
          <w:p w14:paraId="7DEFD45C" w14:textId="77777777" w:rsidR="00D6475F" w:rsidRPr="001005A8" w:rsidRDefault="00D6475F" w:rsidP="00422D51">
            <w:pPr>
              <w:jc w:val="both"/>
              <w:rPr>
                <w:rFonts w:asciiTheme="majorBidi" w:hAnsiTheme="majorBidi"/>
                <w:sz w:val="16"/>
                <w:lang w:val="en-GB"/>
              </w:rPr>
            </w:pPr>
          </w:p>
          <w:p w14:paraId="74B2D304" w14:textId="77777777" w:rsidR="00D6475F" w:rsidRPr="001005A8" w:rsidRDefault="00D6475F" w:rsidP="00422D51">
            <w:pPr>
              <w:jc w:val="both"/>
              <w:rPr>
                <w:rFonts w:asciiTheme="majorBidi" w:hAnsiTheme="majorBidi"/>
                <w:sz w:val="16"/>
                <w:lang w:val="en-GB"/>
              </w:rPr>
            </w:pPr>
          </w:p>
          <w:p w14:paraId="0B563B90" w14:textId="77777777" w:rsidR="00D6475F" w:rsidRPr="001005A8" w:rsidRDefault="00D6475F" w:rsidP="00422D51">
            <w:pPr>
              <w:jc w:val="both"/>
              <w:rPr>
                <w:rFonts w:asciiTheme="majorBidi" w:hAnsiTheme="majorBidi"/>
                <w:sz w:val="16"/>
                <w:lang w:val="en-GB"/>
              </w:rPr>
            </w:pPr>
          </w:p>
          <w:p w14:paraId="0637C793" w14:textId="77777777" w:rsidR="00D6475F" w:rsidRPr="001005A8" w:rsidRDefault="00D6475F" w:rsidP="00422D51">
            <w:pPr>
              <w:jc w:val="both"/>
              <w:rPr>
                <w:rFonts w:asciiTheme="majorBidi" w:hAnsiTheme="majorBidi"/>
                <w:sz w:val="16"/>
                <w:lang w:val="en-GB"/>
              </w:rPr>
            </w:pPr>
          </w:p>
          <w:p w14:paraId="24F01816" w14:textId="77777777" w:rsidR="00D6475F" w:rsidRPr="001005A8" w:rsidRDefault="00D6475F" w:rsidP="00422D51">
            <w:pPr>
              <w:jc w:val="both"/>
              <w:rPr>
                <w:rFonts w:asciiTheme="majorBidi" w:hAnsiTheme="majorBidi"/>
                <w:sz w:val="16"/>
                <w:lang w:val="en-GB"/>
              </w:rPr>
            </w:pPr>
          </w:p>
          <w:p w14:paraId="29D8DAFC" w14:textId="77777777" w:rsidR="00D6475F" w:rsidRPr="001005A8" w:rsidRDefault="00D6475F" w:rsidP="00422D51">
            <w:pPr>
              <w:jc w:val="both"/>
              <w:rPr>
                <w:rFonts w:asciiTheme="majorBidi" w:hAnsiTheme="majorBidi"/>
                <w:sz w:val="16"/>
                <w:lang w:val="en-GB"/>
              </w:rPr>
            </w:pPr>
          </w:p>
          <w:p w14:paraId="3E7F5CD4" w14:textId="3BDFA469" w:rsidR="00D6475F" w:rsidRPr="001005A8" w:rsidRDefault="00D6475F" w:rsidP="00422D51">
            <w:pPr>
              <w:jc w:val="both"/>
              <w:rPr>
                <w:rFonts w:asciiTheme="majorBidi" w:hAnsiTheme="majorBidi" w:cstheme="majorBidi"/>
                <w:sz w:val="16"/>
                <w:szCs w:val="16"/>
                <w:lang w:val="en-GB"/>
              </w:rPr>
            </w:pPr>
          </w:p>
          <w:p w14:paraId="7F55CAF6" w14:textId="69C25ABB" w:rsidR="00D6475F" w:rsidRPr="001005A8" w:rsidRDefault="00D6475F" w:rsidP="00422D51">
            <w:pPr>
              <w:jc w:val="both"/>
              <w:rPr>
                <w:rFonts w:asciiTheme="majorBidi" w:hAnsiTheme="majorBidi" w:cstheme="majorBidi"/>
                <w:sz w:val="16"/>
                <w:szCs w:val="16"/>
                <w:lang w:val="en-GB"/>
              </w:rPr>
            </w:pPr>
          </w:p>
        </w:tc>
        <w:tc>
          <w:tcPr>
            <w:tcW w:w="1760" w:type="dxa"/>
            <w:vMerge w:val="restart"/>
            <w:shd w:val="clear" w:color="auto" w:fill="auto"/>
            <w:tcMar>
              <w:top w:w="15" w:type="dxa"/>
              <w:left w:w="108" w:type="dxa"/>
              <w:bottom w:w="0" w:type="dxa"/>
              <w:right w:w="108" w:type="dxa"/>
            </w:tcMar>
          </w:tcPr>
          <w:p w14:paraId="19584245" w14:textId="77777777" w:rsidR="00D6475F" w:rsidRPr="001005A8" w:rsidRDefault="00D6475F" w:rsidP="00422D51">
            <w:pPr>
              <w:jc w:val="both"/>
              <w:rPr>
                <w:rFonts w:asciiTheme="majorBidi" w:hAnsiTheme="majorBidi" w:cstheme="majorBidi"/>
                <w:b/>
                <w:sz w:val="16"/>
                <w:szCs w:val="16"/>
                <w:lang w:val="en-GB"/>
              </w:rPr>
            </w:pPr>
            <w:r w:rsidRPr="001005A8">
              <w:rPr>
                <w:rFonts w:asciiTheme="majorBidi" w:hAnsiTheme="majorBidi" w:cstheme="majorBidi"/>
                <w:b/>
                <w:sz w:val="16"/>
                <w:szCs w:val="16"/>
                <w:lang w:val="en-GB"/>
              </w:rPr>
              <w:lastRenderedPageBreak/>
              <w:t>Regular:</w:t>
            </w:r>
            <w:r w:rsidRPr="001005A8">
              <w:rPr>
                <w:rFonts w:asciiTheme="majorBidi" w:hAnsiTheme="majorBidi" w:cstheme="majorBidi"/>
                <w:b/>
                <w:bCs/>
                <w:sz w:val="16"/>
                <w:szCs w:val="16"/>
                <w:lang w:val="en-GB"/>
              </w:rPr>
              <w:t xml:space="preserve"> 900</w:t>
            </w:r>
          </w:p>
          <w:p w14:paraId="69F31121" w14:textId="77777777" w:rsidR="00D6475F" w:rsidRPr="001005A8" w:rsidRDefault="00D6475F" w:rsidP="00422D51">
            <w:pPr>
              <w:jc w:val="both"/>
              <w:rPr>
                <w:rFonts w:asciiTheme="majorBidi" w:hAnsiTheme="majorBidi" w:cstheme="majorBidi"/>
                <w:b/>
                <w:bCs/>
                <w:sz w:val="16"/>
                <w:szCs w:val="16"/>
                <w:highlight w:val="yellow"/>
                <w:lang w:val="en-GB"/>
              </w:rPr>
            </w:pPr>
          </w:p>
          <w:p w14:paraId="2CE50471" w14:textId="77777777" w:rsidR="00D6475F" w:rsidRPr="001005A8" w:rsidRDefault="00D6475F" w:rsidP="00422D51">
            <w:pPr>
              <w:jc w:val="both"/>
              <w:rPr>
                <w:rFonts w:asciiTheme="majorBidi" w:hAnsiTheme="majorBidi" w:cstheme="majorBidi"/>
                <w:b/>
                <w:bCs/>
                <w:sz w:val="16"/>
                <w:szCs w:val="16"/>
                <w:lang w:val="en-GB"/>
              </w:rPr>
            </w:pPr>
            <w:r w:rsidRPr="001005A8">
              <w:rPr>
                <w:rFonts w:asciiTheme="majorBidi" w:hAnsiTheme="majorBidi" w:cstheme="majorBidi"/>
                <w:b/>
                <w:sz w:val="16"/>
                <w:szCs w:val="16"/>
                <w:lang w:val="en-GB"/>
              </w:rPr>
              <w:t>Other:</w:t>
            </w:r>
            <w:r w:rsidRPr="001005A8">
              <w:rPr>
                <w:rFonts w:asciiTheme="majorBidi" w:hAnsiTheme="majorBidi" w:cstheme="majorBidi"/>
                <w:b/>
                <w:bCs/>
                <w:sz w:val="16"/>
                <w:szCs w:val="16"/>
                <w:lang w:val="en-GB"/>
              </w:rPr>
              <w:t xml:space="preserve"> 3,750</w:t>
            </w:r>
          </w:p>
          <w:p w14:paraId="68E83AA4" w14:textId="77777777" w:rsidR="00D6475F" w:rsidRPr="001005A8" w:rsidRDefault="00D6475F" w:rsidP="00422D51">
            <w:pPr>
              <w:jc w:val="both"/>
              <w:rPr>
                <w:rFonts w:asciiTheme="majorBidi" w:hAnsiTheme="majorBidi" w:cstheme="majorBidi"/>
                <w:b/>
                <w:bCs/>
                <w:sz w:val="16"/>
                <w:szCs w:val="16"/>
                <w:lang w:val="en-GB"/>
              </w:rPr>
            </w:pPr>
          </w:p>
          <w:p w14:paraId="301E8C62" w14:textId="77777777" w:rsidR="00D6475F" w:rsidRPr="001005A8" w:rsidRDefault="00D6475F" w:rsidP="00422D51">
            <w:pPr>
              <w:jc w:val="both"/>
              <w:rPr>
                <w:rFonts w:asciiTheme="majorBidi" w:hAnsiTheme="majorBidi" w:cstheme="majorBidi"/>
                <w:b/>
                <w:bCs/>
                <w:sz w:val="16"/>
                <w:szCs w:val="16"/>
                <w:lang w:val="en-GB"/>
              </w:rPr>
            </w:pPr>
          </w:p>
          <w:p w14:paraId="1EFC472C" w14:textId="77777777" w:rsidR="00D6475F" w:rsidRPr="001005A8" w:rsidRDefault="00D6475F" w:rsidP="00422D51">
            <w:pPr>
              <w:jc w:val="both"/>
              <w:rPr>
                <w:rFonts w:asciiTheme="majorBidi" w:hAnsiTheme="majorBidi" w:cstheme="majorBidi"/>
                <w:b/>
                <w:bCs/>
                <w:sz w:val="16"/>
                <w:szCs w:val="16"/>
                <w:lang w:val="en-GB"/>
              </w:rPr>
            </w:pPr>
          </w:p>
          <w:p w14:paraId="4F4325F8" w14:textId="77777777" w:rsidR="00D6475F" w:rsidRPr="001005A8" w:rsidRDefault="00D6475F" w:rsidP="00422D51">
            <w:pPr>
              <w:jc w:val="both"/>
              <w:rPr>
                <w:rFonts w:asciiTheme="majorBidi" w:hAnsiTheme="majorBidi" w:cstheme="majorBidi"/>
                <w:b/>
                <w:bCs/>
                <w:sz w:val="16"/>
                <w:szCs w:val="16"/>
                <w:lang w:val="en-GB"/>
              </w:rPr>
            </w:pPr>
          </w:p>
          <w:p w14:paraId="5E1483C4" w14:textId="77777777" w:rsidR="00D6475F" w:rsidRPr="001005A8" w:rsidRDefault="00D6475F" w:rsidP="00422D51">
            <w:pPr>
              <w:jc w:val="both"/>
              <w:rPr>
                <w:rFonts w:asciiTheme="majorBidi" w:hAnsiTheme="majorBidi" w:cstheme="majorBidi"/>
                <w:b/>
                <w:bCs/>
                <w:sz w:val="16"/>
                <w:szCs w:val="16"/>
                <w:lang w:val="en-GB"/>
              </w:rPr>
            </w:pPr>
          </w:p>
          <w:p w14:paraId="540FECE3" w14:textId="77777777" w:rsidR="00D6475F" w:rsidRPr="001005A8" w:rsidRDefault="00D6475F" w:rsidP="00422D51">
            <w:pPr>
              <w:jc w:val="both"/>
              <w:rPr>
                <w:rFonts w:asciiTheme="majorBidi" w:hAnsiTheme="majorBidi" w:cstheme="majorBidi"/>
                <w:sz w:val="16"/>
                <w:szCs w:val="16"/>
                <w:lang w:val="en-GB"/>
              </w:rPr>
            </w:pPr>
          </w:p>
          <w:p w14:paraId="01FFB5E2" w14:textId="77777777" w:rsidR="00D6475F" w:rsidRPr="001005A8" w:rsidRDefault="00D6475F" w:rsidP="00422D51">
            <w:pPr>
              <w:jc w:val="both"/>
              <w:rPr>
                <w:rFonts w:asciiTheme="majorBidi" w:hAnsiTheme="majorBidi" w:cstheme="majorBidi"/>
                <w:sz w:val="16"/>
                <w:szCs w:val="16"/>
                <w:lang w:val="en-GB"/>
              </w:rPr>
            </w:pPr>
          </w:p>
          <w:p w14:paraId="49F1446A" w14:textId="77777777" w:rsidR="00D6475F" w:rsidRPr="001005A8" w:rsidRDefault="00D6475F" w:rsidP="00422D51">
            <w:pPr>
              <w:jc w:val="both"/>
              <w:rPr>
                <w:rFonts w:asciiTheme="majorBidi" w:hAnsiTheme="majorBidi" w:cstheme="majorBidi"/>
                <w:sz w:val="16"/>
                <w:szCs w:val="16"/>
                <w:lang w:val="en-GB"/>
              </w:rPr>
            </w:pPr>
          </w:p>
          <w:p w14:paraId="47DA81E2" w14:textId="77777777" w:rsidR="00D6475F" w:rsidRPr="001005A8" w:rsidRDefault="00D6475F" w:rsidP="00422D51">
            <w:pPr>
              <w:jc w:val="both"/>
              <w:rPr>
                <w:rFonts w:asciiTheme="majorBidi" w:hAnsiTheme="majorBidi" w:cstheme="majorBidi"/>
                <w:sz w:val="16"/>
                <w:szCs w:val="16"/>
                <w:lang w:val="en-GB"/>
              </w:rPr>
            </w:pPr>
          </w:p>
          <w:p w14:paraId="24B590BF" w14:textId="77777777" w:rsidR="00D6475F" w:rsidRPr="001005A8" w:rsidRDefault="00D6475F" w:rsidP="00422D51">
            <w:pPr>
              <w:jc w:val="both"/>
              <w:rPr>
                <w:rFonts w:asciiTheme="majorBidi" w:hAnsiTheme="majorBidi" w:cstheme="majorBidi"/>
                <w:sz w:val="16"/>
                <w:szCs w:val="16"/>
                <w:lang w:val="en-GB"/>
              </w:rPr>
            </w:pPr>
          </w:p>
          <w:p w14:paraId="647EBA77" w14:textId="77777777" w:rsidR="00D6475F" w:rsidRPr="001005A8" w:rsidRDefault="00D6475F" w:rsidP="00422D51">
            <w:pPr>
              <w:jc w:val="both"/>
              <w:rPr>
                <w:rFonts w:asciiTheme="majorBidi" w:hAnsiTheme="majorBidi" w:cstheme="majorBidi"/>
                <w:sz w:val="16"/>
                <w:szCs w:val="16"/>
                <w:lang w:val="en-GB"/>
              </w:rPr>
            </w:pPr>
          </w:p>
          <w:p w14:paraId="6CC44138" w14:textId="77777777" w:rsidR="00D6475F" w:rsidRPr="001005A8" w:rsidRDefault="00D6475F" w:rsidP="00422D51">
            <w:pPr>
              <w:jc w:val="both"/>
              <w:rPr>
                <w:rFonts w:asciiTheme="majorBidi" w:hAnsiTheme="majorBidi" w:cstheme="majorBidi"/>
                <w:sz w:val="16"/>
                <w:szCs w:val="16"/>
                <w:lang w:val="en-GB"/>
              </w:rPr>
            </w:pPr>
          </w:p>
          <w:p w14:paraId="4006E0F4" w14:textId="77777777" w:rsidR="00D6475F" w:rsidRPr="001005A8" w:rsidRDefault="00D6475F" w:rsidP="00422D51">
            <w:pPr>
              <w:jc w:val="both"/>
              <w:rPr>
                <w:rFonts w:asciiTheme="majorBidi" w:hAnsiTheme="majorBidi" w:cstheme="majorBidi"/>
                <w:sz w:val="16"/>
                <w:szCs w:val="16"/>
                <w:lang w:val="en-GB"/>
              </w:rPr>
            </w:pPr>
          </w:p>
          <w:p w14:paraId="62F0C1C9" w14:textId="77777777" w:rsidR="00D6475F" w:rsidRPr="001005A8" w:rsidRDefault="00D6475F" w:rsidP="00422D51">
            <w:pPr>
              <w:jc w:val="both"/>
              <w:rPr>
                <w:rFonts w:asciiTheme="majorBidi" w:hAnsiTheme="majorBidi" w:cstheme="majorBidi"/>
                <w:sz w:val="16"/>
                <w:szCs w:val="16"/>
                <w:lang w:val="en-GB"/>
              </w:rPr>
            </w:pPr>
          </w:p>
          <w:p w14:paraId="2401FEFF" w14:textId="09A01CB3" w:rsidR="00D6475F" w:rsidRPr="001005A8" w:rsidRDefault="00D6475F" w:rsidP="00422D51">
            <w:pPr>
              <w:jc w:val="both"/>
              <w:rPr>
                <w:rFonts w:asciiTheme="majorBidi" w:hAnsiTheme="majorBidi" w:cstheme="majorBidi"/>
                <w:b/>
                <w:bCs/>
                <w:sz w:val="16"/>
                <w:szCs w:val="16"/>
                <w:lang w:val="en-GB"/>
              </w:rPr>
            </w:pPr>
          </w:p>
          <w:p w14:paraId="4B3D5B21" w14:textId="6E732FB3" w:rsidR="00D6475F" w:rsidRPr="001005A8" w:rsidRDefault="00D6475F" w:rsidP="00D6475F">
            <w:pPr>
              <w:jc w:val="both"/>
              <w:rPr>
                <w:rFonts w:asciiTheme="majorBidi" w:hAnsiTheme="majorBidi" w:cstheme="majorBidi"/>
                <w:b/>
                <w:bCs/>
                <w:sz w:val="16"/>
                <w:szCs w:val="16"/>
                <w:lang w:val="en-GB"/>
              </w:rPr>
            </w:pPr>
          </w:p>
        </w:tc>
      </w:tr>
      <w:tr w:rsidR="00D6475F" w:rsidRPr="001005A8" w14:paraId="2DE40AA5" w14:textId="77777777" w:rsidTr="0064612E">
        <w:trPr>
          <w:trHeight w:val="3133"/>
        </w:trPr>
        <w:tc>
          <w:tcPr>
            <w:tcW w:w="2785" w:type="dxa"/>
            <w:vMerge/>
            <w:tcMar>
              <w:top w:w="72" w:type="dxa"/>
              <w:left w:w="144" w:type="dxa"/>
              <w:bottom w:w="72" w:type="dxa"/>
              <w:right w:w="144" w:type="dxa"/>
            </w:tcMar>
          </w:tcPr>
          <w:p w14:paraId="5C5F8350" w14:textId="77777777" w:rsidR="00D6475F" w:rsidRPr="001005A8" w:rsidRDefault="00D6475F" w:rsidP="00422D51">
            <w:pPr>
              <w:jc w:val="both"/>
              <w:rPr>
                <w:rFonts w:asciiTheme="majorBidi" w:hAnsiTheme="majorBidi" w:cstheme="majorBidi"/>
                <w:sz w:val="16"/>
                <w:szCs w:val="16"/>
                <w:lang w:val="en-GB"/>
              </w:rPr>
            </w:pPr>
          </w:p>
        </w:tc>
        <w:tc>
          <w:tcPr>
            <w:tcW w:w="1791" w:type="dxa"/>
            <w:vMerge/>
          </w:tcPr>
          <w:p w14:paraId="573D6BBA" w14:textId="77777777" w:rsidR="00D6475F" w:rsidRPr="001005A8" w:rsidRDefault="00D6475F" w:rsidP="00422D51">
            <w:pPr>
              <w:jc w:val="both"/>
              <w:rPr>
                <w:rFonts w:asciiTheme="majorBidi" w:hAnsiTheme="majorBidi" w:cstheme="majorBidi"/>
                <w:b/>
                <w:bCs/>
                <w:sz w:val="16"/>
                <w:szCs w:val="16"/>
                <w:lang w:val="en-GB"/>
              </w:rPr>
            </w:pPr>
          </w:p>
        </w:tc>
        <w:tc>
          <w:tcPr>
            <w:tcW w:w="4779" w:type="dxa"/>
            <w:shd w:val="clear" w:color="auto" w:fill="auto"/>
            <w:tcMar>
              <w:top w:w="72" w:type="dxa"/>
              <w:left w:w="144" w:type="dxa"/>
              <w:bottom w:w="72" w:type="dxa"/>
              <w:right w:w="144" w:type="dxa"/>
            </w:tcMar>
          </w:tcPr>
          <w:p w14:paraId="6A5AAC57" w14:textId="77777777" w:rsidR="00D6475F" w:rsidRPr="001005A8" w:rsidRDefault="00D6475F" w:rsidP="00422D51">
            <w:pPr>
              <w:spacing w:line="257" w:lineRule="auto"/>
              <w:jc w:val="both"/>
              <w:rPr>
                <w:rFonts w:asciiTheme="majorBidi" w:hAnsiTheme="majorBidi" w:cstheme="majorBidi"/>
                <w:b/>
                <w:bCs/>
                <w:color w:val="000000" w:themeColor="text1"/>
                <w:sz w:val="16"/>
                <w:szCs w:val="16"/>
                <w:lang w:val="en-GB"/>
              </w:rPr>
            </w:pPr>
            <w:r w:rsidRPr="001005A8">
              <w:rPr>
                <w:rFonts w:asciiTheme="majorBidi" w:hAnsiTheme="majorBidi" w:cstheme="majorBidi"/>
                <w:b/>
                <w:bCs/>
                <w:color w:val="000000" w:themeColor="text1"/>
                <w:sz w:val="16"/>
                <w:szCs w:val="16"/>
                <w:lang w:val="en-GB"/>
              </w:rPr>
              <w:t>Output 4.2. Protection of human rights, access to justice, civic participation and combat against discrimination strengthened, including those based on gender, sexual orientation, gender identity and expression.</w:t>
            </w:r>
          </w:p>
          <w:p w14:paraId="3392636B" w14:textId="77777777" w:rsidR="00D6475F" w:rsidRPr="001005A8" w:rsidRDefault="00D6475F" w:rsidP="00422D51">
            <w:pPr>
              <w:pStyle w:val="ListParagraph"/>
              <w:spacing w:line="259" w:lineRule="auto"/>
              <w:ind w:left="0"/>
              <w:jc w:val="both"/>
              <w:rPr>
                <w:rFonts w:asciiTheme="majorBidi" w:hAnsiTheme="majorBidi" w:cstheme="majorBidi"/>
                <w:color w:val="000000" w:themeColor="text1"/>
                <w:sz w:val="16"/>
                <w:szCs w:val="16"/>
                <w:lang w:val="en-GB"/>
              </w:rPr>
            </w:pPr>
          </w:p>
          <w:p w14:paraId="11FCC33C" w14:textId="77777777" w:rsidR="00D6475F" w:rsidRPr="001005A8" w:rsidRDefault="00D6475F"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4.2.1.</w:t>
            </w:r>
            <w:r w:rsidRPr="001005A8">
              <w:rPr>
                <w:rFonts w:asciiTheme="majorBidi" w:hAnsiTheme="majorBidi" w:cstheme="majorBidi"/>
                <w:color w:val="000000" w:themeColor="text1"/>
                <w:sz w:val="16"/>
                <w:szCs w:val="16"/>
                <w:lang w:val="en-GB"/>
              </w:rPr>
              <w:t xml:space="preserve"> Number of municipal administrations that regularly publish reports on their legal remits. </w:t>
            </w:r>
          </w:p>
          <w:p w14:paraId="28DA9397" w14:textId="77777777" w:rsidR="00D6475F" w:rsidRPr="001005A8" w:rsidRDefault="00D6475F" w:rsidP="00422D51">
            <w:pPr>
              <w:pStyle w:val="ListParagraph"/>
              <w:spacing w:line="259" w:lineRule="auto"/>
              <w:ind w:left="0"/>
              <w:jc w:val="both"/>
              <w:rPr>
                <w:rFonts w:asciiTheme="majorBidi" w:hAnsiTheme="majorBidi" w:cstheme="majorBidi"/>
                <w:lang w:val="en-GB"/>
              </w:rPr>
            </w:pPr>
            <w:r w:rsidRPr="001005A8">
              <w:rPr>
                <w:rFonts w:asciiTheme="majorBidi" w:hAnsiTheme="majorBidi" w:cstheme="majorBidi"/>
                <w:b/>
                <w:bCs/>
                <w:color w:val="000000" w:themeColor="text1"/>
                <w:sz w:val="16"/>
                <w:szCs w:val="16"/>
                <w:lang w:val="en-GB"/>
              </w:rPr>
              <w:t>Baseline (2022)</w:t>
            </w:r>
            <w:r w:rsidRPr="001005A8">
              <w:rPr>
                <w:rFonts w:asciiTheme="majorBidi" w:hAnsiTheme="majorBidi" w:cstheme="majorBidi"/>
                <w:color w:val="000000" w:themeColor="text1"/>
                <w:sz w:val="16"/>
                <w:szCs w:val="16"/>
                <w:lang w:val="en-GB"/>
              </w:rPr>
              <w:t xml:space="preserve">: 0; </w:t>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 xml:space="preserve">: 40 </w:t>
            </w:r>
          </w:p>
          <w:p w14:paraId="0FDE5491" w14:textId="77777777" w:rsidR="00D6475F" w:rsidRPr="001005A8" w:rsidRDefault="00D6475F"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Source</w:t>
            </w:r>
            <w:r w:rsidRPr="001005A8">
              <w:rPr>
                <w:rFonts w:asciiTheme="majorBidi" w:hAnsiTheme="majorBidi" w:cstheme="majorBidi"/>
                <w:color w:val="000000" w:themeColor="text1"/>
                <w:sz w:val="16"/>
                <w:szCs w:val="16"/>
                <w:lang w:val="en-GB"/>
              </w:rPr>
              <w:t>: MAT, MINJUSDH</w:t>
            </w:r>
          </w:p>
          <w:p w14:paraId="645CC392" w14:textId="42356E01" w:rsidR="00D6475F" w:rsidRPr="001005A8" w:rsidRDefault="00D6475F"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Frequency</w:t>
            </w:r>
            <w:r w:rsidRPr="001005A8">
              <w:rPr>
                <w:rFonts w:asciiTheme="majorBidi" w:hAnsiTheme="majorBidi" w:cstheme="majorBidi"/>
                <w:color w:val="000000" w:themeColor="text1"/>
                <w:sz w:val="16"/>
                <w:szCs w:val="16"/>
                <w:lang w:val="en-GB"/>
              </w:rPr>
              <w:t>: Annual</w:t>
            </w:r>
          </w:p>
          <w:p w14:paraId="55C7AF53" w14:textId="77777777" w:rsidR="00D6475F" w:rsidRPr="001005A8" w:rsidRDefault="00D6475F" w:rsidP="00422D51">
            <w:pPr>
              <w:pStyle w:val="ListParagraph"/>
              <w:spacing w:line="259" w:lineRule="auto"/>
              <w:ind w:left="0"/>
              <w:jc w:val="both"/>
              <w:rPr>
                <w:rFonts w:asciiTheme="majorBidi" w:hAnsiTheme="majorBidi" w:cstheme="majorBidi"/>
                <w:color w:val="000000" w:themeColor="text1"/>
                <w:sz w:val="16"/>
                <w:szCs w:val="16"/>
                <w:lang w:val="en-GB"/>
              </w:rPr>
            </w:pPr>
          </w:p>
          <w:p w14:paraId="689DE395" w14:textId="77777777" w:rsidR="00D6475F" w:rsidRPr="001005A8" w:rsidRDefault="00D6475F"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4.2.2.</w:t>
            </w:r>
            <w:r w:rsidRPr="001005A8">
              <w:rPr>
                <w:rFonts w:asciiTheme="majorBidi" w:hAnsiTheme="majorBidi" w:cstheme="majorBidi"/>
                <w:color w:val="000000" w:themeColor="text1"/>
                <w:sz w:val="16"/>
                <w:szCs w:val="16"/>
                <w:lang w:val="en-GB"/>
              </w:rPr>
              <w:t xml:space="preserve"> Number of policies and strategies that mainstream actions to enforce human rights, promote gender equality and women empowerment and protect vulnerable populations and LGBTI people.</w:t>
            </w:r>
          </w:p>
          <w:p w14:paraId="0C30C291" w14:textId="77777777" w:rsidR="00D6475F" w:rsidRPr="001005A8" w:rsidRDefault="00D6475F" w:rsidP="00422D51">
            <w:pPr>
              <w:pStyle w:val="ListParagraph"/>
              <w:spacing w:line="259" w:lineRule="auto"/>
              <w:ind w:left="0"/>
              <w:jc w:val="both"/>
              <w:rPr>
                <w:rFonts w:asciiTheme="majorBidi" w:hAnsiTheme="majorBidi" w:cstheme="majorBidi"/>
                <w:color w:val="000000" w:themeColor="text1"/>
                <w:sz w:val="16"/>
                <w:szCs w:val="16"/>
                <w:lang w:val="en-GB"/>
              </w:rPr>
            </w:pPr>
            <w:r w:rsidRPr="001005A8">
              <w:rPr>
                <w:rFonts w:asciiTheme="majorBidi" w:hAnsiTheme="majorBidi" w:cstheme="majorBidi"/>
                <w:b/>
                <w:bCs/>
                <w:color w:val="000000" w:themeColor="text1"/>
                <w:sz w:val="16"/>
                <w:szCs w:val="16"/>
                <w:lang w:val="en-GB"/>
              </w:rPr>
              <w:t>Baseline (2022)</w:t>
            </w:r>
            <w:r w:rsidRPr="001005A8">
              <w:rPr>
                <w:rFonts w:asciiTheme="majorBidi" w:hAnsiTheme="majorBidi" w:cstheme="majorBidi"/>
                <w:color w:val="000000" w:themeColor="text1"/>
                <w:sz w:val="16"/>
                <w:szCs w:val="16"/>
                <w:lang w:val="en-GB"/>
              </w:rPr>
              <w:t xml:space="preserve">: 2; </w:t>
            </w:r>
            <w:r w:rsidRPr="001005A8">
              <w:rPr>
                <w:rFonts w:asciiTheme="majorBidi" w:hAnsiTheme="majorBidi" w:cstheme="majorBidi"/>
                <w:b/>
                <w:bCs/>
                <w:color w:val="000000" w:themeColor="text1"/>
                <w:sz w:val="16"/>
                <w:szCs w:val="16"/>
                <w:lang w:val="en-GB"/>
              </w:rPr>
              <w:t>Target (2028)</w:t>
            </w:r>
            <w:r w:rsidRPr="001005A8">
              <w:rPr>
                <w:rFonts w:asciiTheme="majorBidi" w:hAnsiTheme="majorBidi" w:cstheme="majorBidi"/>
                <w:color w:val="000000" w:themeColor="text1"/>
                <w:sz w:val="16"/>
                <w:szCs w:val="16"/>
                <w:lang w:val="en-GB"/>
              </w:rPr>
              <w:t>: 6</w:t>
            </w:r>
          </w:p>
          <w:p w14:paraId="4076BFDA" w14:textId="77777777" w:rsidR="00D6475F" w:rsidRPr="001005A8" w:rsidRDefault="00D6475F" w:rsidP="00422D51">
            <w:pPr>
              <w:pStyle w:val="ListParagraph"/>
              <w:spacing w:line="259" w:lineRule="auto"/>
              <w:ind w:left="0"/>
              <w:jc w:val="both"/>
              <w:rPr>
                <w:rFonts w:asciiTheme="majorBidi" w:hAnsiTheme="majorBidi" w:cstheme="majorBidi"/>
                <w:b/>
                <w:bCs/>
                <w:color w:val="000000" w:themeColor="text1"/>
                <w:sz w:val="16"/>
                <w:szCs w:val="16"/>
                <w:lang w:val="en-GB"/>
              </w:rPr>
            </w:pPr>
            <w:r w:rsidRPr="001005A8">
              <w:rPr>
                <w:rFonts w:asciiTheme="majorBidi" w:hAnsiTheme="majorBidi" w:cstheme="majorBidi"/>
                <w:b/>
                <w:bCs/>
                <w:color w:val="000000" w:themeColor="text1"/>
                <w:sz w:val="16"/>
                <w:szCs w:val="16"/>
                <w:lang w:val="en-GB"/>
              </w:rPr>
              <w:t>Source</w:t>
            </w:r>
            <w:r w:rsidRPr="001005A8">
              <w:rPr>
                <w:rFonts w:asciiTheme="majorBidi" w:hAnsiTheme="majorBidi" w:cstheme="majorBidi"/>
                <w:color w:val="000000" w:themeColor="text1"/>
                <w:sz w:val="16"/>
                <w:szCs w:val="16"/>
                <w:lang w:val="en-GB"/>
              </w:rPr>
              <w:t>: MASFAMU, MINJUSDH, CSOs</w:t>
            </w:r>
          </w:p>
          <w:p w14:paraId="45A4FCAF" w14:textId="0AB88E34" w:rsidR="00D6475F" w:rsidRPr="001005A8" w:rsidRDefault="00D6475F" w:rsidP="00422D51">
            <w:pPr>
              <w:pStyle w:val="ListParagraph"/>
              <w:spacing w:line="259" w:lineRule="auto"/>
              <w:ind w:left="0"/>
              <w:jc w:val="both"/>
              <w:rPr>
                <w:rFonts w:asciiTheme="majorBidi" w:hAnsiTheme="majorBidi" w:cstheme="majorBidi"/>
                <w:b/>
                <w:bCs/>
                <w:color w:val="000000" w:themeColor="text1"/>
                <w:sz w:val="16"/>
                <w:szCs w:val="16"/>
                <w:lang w:val="en-GB"/>
              </w:rPr>
            </w:pPr>
            <w:r w:rsidRPr="001005A8">
              <w:rPr>
                <w:rFonts w:asciiTheme="majorBidi" w:hAnsiTheme="majorBidi" w:cstheme="majorBidi"/>
                <w:b/>
                <w:bCs/>
                <w:color w:val="000000" w:themeColor="text1"/>
                <w:sz w:val="16"/>
                <w:szCs w:val="16"/>
                <w:lang w:val="en-GB"/>
              </w:rPr>
              <w:t>Frequency</w:t>
            </w:r>
            <w:r w:rsidRPr="001005A8">
              <w:rPr>
                <w:rFonts w:asciiTheme="majorBidi" w:hAnsiTheme="majorBidi" w:cstheme="majorBidi"/>
                <w:color w:val="000000" w:themeColor="text1"/>
                <w:sz w:val="16"/>
                <w:szCs w:val="16"/>
                <w:lang w:val="en-GB"/>
              </w:rPr>
              <w:t>: Annual</w:t>
            </w:r>
          </w:p>
        </w:tc>
        <w:tc>
          <w:tcPr>
            <w:tcW w:w="1980" w:type="dxa"/>
            <w:vMerge/>
            <w:shd w:val="clear" w:color="auto" w:fill="auto"/>
          </w:tcPr>
          <w:p w14:paraId="657E8E67" w14:textId="0777B605" w:rsidR="00D6475F" w:rsidRPr="001005A8" w:rsidRDefault="00D6475F" w:rsidP="00422D51">
            <w:pPr>
              <w:jc w:val="both"/>
              <w:rPr>
                <w:rFonts w:asciiTheme="majorBidi" w:hAnsiTheme="majorBidi" w:cstheme="majorBidi"/>
                <w:sz w:val="16"/>
                <w:szCs w:val="16"/>
                <w:lang w:val="en-GB"/>
              </w:rPr>
            </w:pPr>
          </w:p>
        </w:tc>
        <w:tc>
          <w:tcPr>
            <w:tcW w:w="1760" w:type="dxa"/>
            <w:vMerge/>
            <w:shd w:val="clear" w:color="auto" w:fill="auto"/>
            <w:tcMar>
              <w:top w:w="15" w:type="dxa"/>
              <w:left w:w="108" w:type="dxa"/>
              <w:bottom w:w="0" w:type="dxa"/>
              <w:right w:w="108" w:type="dxa"/>
            </w:tcMar>
          </w:tcPr>
          <w:p w14:paraId="3B9713EC" w14:textId="77777777" w:rsidR="00D6475F" w:rsidRPr="001005A8" w:rsidRDefault="00D6475F" w:rsidP="00D6475F">
            <w:pPr>
              <w:jc w:val="both"/>
              <w:rPr>
                <w:rFonts w:asciiTheme="majorBidi" w:hAnsiTheme="majorBidi" w:cstheme="majorBidi"/>
                <w:b/>
                <w:sz w:val="16"/>
                <w:szCs w:val="16"/>
                <w:lang w:val="en-GB"/>
              </w:rPr>
            </w:pPr>
          </w:p>
        </w:tc>
      </w:tr>
    </w:tbl>
    <w:p w14:paraId="2440D4A0" w14:textId="77777777" w:rsidR="00125010" w:rsidRPr="001005A8" w:rsidRDefault="00125010" w:rsidP="00125010">
      <w:pPr>
        <w:rPr>
          <w:color w:val="000000"/>
          <w:lang w:val="en-GB"/>
        </w:rPr>
      </w:pPr>
    </w:p>
    <w:p w14:paraId="7279D4CE" w14:textId="77777777" w:rsidR="00974AA7" w:rsidRPr="001005A8" w:rsidRDefault="00974AA7" w:rsidP="00D63630">
      <w:pPr>
        <w:jc w:val="center"/>
        <w:rPr>
          <w:color w:val="000000"/>
          <w:lang w:val="en-GB"/>
        </w:rPr>
      </w:pPr>
    </w:p>
    <w:p w14:paraId="0BFCE2E5" w14:textId="177EB1DB" w:rsidR="00D6679C" w:rsidRPr="001005A8" w:rsidRDefault="00D63630" w:rsidP="00D63630">
      <w:pPr>
        <w:jc w:val="center"/>
        <w:rPr>
          <w:color w:val="000000"/>
          <w:lang w:val="en-GB"/>
        </w:rPr>
      </w:pPr>
      <w:r w:rsidRPr="001005A8">
        <w:rPr>
          <w:noProof/>
          <w:color w:val="000000"/>
          <w:lang w:val="en-GB"/>
        </w:rPr>
        <w:drawing>
          <wp:inline distT="0" distB="0" distL="0" distR="0" wp14:anchorId="02D24EF9" wp14:editId="6D6E2E7B">
            <wp:extent cx="920750" cy="6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750" cy="6350"/>
                    </a:xfrm>
                    <a:prstGeom prst="rect">
                      <a:avLst/>
                    </a:prstGeom>
                    <a:noFill/>
                  </pic:spPr>
                </pic:pic>
              </a:graphicData>
            </a:graphic>
          </wp:inline>
        </w:drawing>
      </w:r>
    </w:p>
    <w:sectPr w:rsidR="00D6679C" w:rsidRPr="001005A8" w:rsidSect="0036139C">
      <w:headerReference w:type="even" r:id="rId18"/>
      <w:headerReference w:type="default" r:id="rId19"/>
      <w:footerReference w:type="even" r:id="rId20"/>
      <w:footerReference w:type="default" r:id="rId21"/>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7E7B" w14:textId="77777777" w:rsidR="00A502F6" w:rsidRDefault="00A502F6" w:rsidP="00441061">
      <w:r>
        <w:separator/>
      </w:r>
    </w:p>
  </w:endnote>
  <w:endnote w:type="continuationSeparator" w:id="0">
    <w:p w14:paraId="10373456" w14:textId="77777777" w:rsidR="00A502F6" w:rsidRDefault="00A502F6" w:rsidP="00441061">
      <w:r>
        <w:continuationSeparator/>
      </w:r>
    </w:p>
  </w:endnote>
  <w:endnote w:type="continuationNotice" w:id="1">
    <w:p w14:paraId="0A56A0CB" w14:textId="77777777" w:rsidR="00A502F6" w:rsidRDefault="00A50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w:altName w:val="Courier New"/>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611633"/>
      <w:docPartObj>
        <w:docPartGallery w:val="Page Numbers (Bottom of Page)"/>
        <w:docPartUnique/>
      </w:docPartObj>
    </w:sdtPr>
    <w:sdtEndPr>
      <w:rPr>
        <w:b/>
        <w:bCs/>
        <w:noProof/>
        <w:sz w:val="17"/>
        <w:szCs w:val="17"/>
      </w:rPr>
    </w:sdtEndPr>
    <w:sdtContent>
      <w:p w14:paraId="2440D567" w14:textId="1C94CE79" w:rsidR="003D3682" w:rsidRPr="00BC69D9" w:rsidRDefault="00BC69D9" w:rsidP="00BC69D9">
        <w:pPr>
          <w:pStyle w:val="Footer"/>
          <w:ind w:firstLine="630"/>
          <w:rPr>
            <w:b/>
            <w:bCs/>
            <w:sz w:val="17"/>
            <w:szCs w:val="17"/>
          </w:rPr>
        </w:pPr>
        <w:r w:rsidRPr="00BC69D9">
          <w:rPr>
            <w:b/>
            <w:bCs/>
            <w:sz w:val="17"/>
            <w:szCs w:val="17"/>
          </w:rPr>
          <w:fldChar w:fldCharType="begin"/>
        </w:r>
        <w:r w:rsidRPr="00BC69D9">
          <w:rPr>
            <w:b/>
            <w:bCs/>
            <w:sz w:val="17"/>
            <w:szCs w:val="17"/>
          </w:rPr>
          <w:instrText xml:space="preserve"> PAGE   \* MERGEFORMAT </w:instrText>
        </w:r>
        <w:r w:rsidRPr="00BC69D9">
          <w:rPr>
            <w:b/>
            <w:bCs/>
            <w:sz w:val="17"/>
            <w:szCs w:val="17"/>
          </w:rPr>
          <w:fldChar w:fldCharType="separate"/>
        </w:r>
        <w:r w:rsidRPr="00BC69D9">
          <w:rPr>
            <w:b/>
            <w:bCs/>
            <w:noProof/>
            <w:sz w:val="17"/>
            <w:szCs w:val="17"/>
          </w:rPr>
          <w:t>2</w:t>
        </w:r>
        <w:r w:rsidRPr="00BC69D9">
          <w:rPr>
            <w:b/>
            <w:bCs/>
            <w:noProof/>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613523"/>
      <w:docPartObj>
        <w:docPartGallery w:val="Page Numbers (Bottom of Page)"/>
        <w:docPartUnique/>
      </w:docPartObj>
    </w:sdtPr>
    <w:sdtEndPr>
      <w:rPr>
        <w:b/>
        <w:bCs/>
        <w:noProof/>
        <w:sz w:val="17"/>
        <w:szCs w:val="17"/>
      </w:rPr>
    </w:sdtEndPr>
    <w:sdtContent>
      <w:p w14:paraId="2440D569" w14:textId="70F98E07" w:rsidR="003D3682" w:rsidRPr="00CE2A86" w:rsidRDefault="00CE2A86" w:rsidP="00CE2A86">
        <w:pPr>
          <w:pStyle w:val="Footer"/>
          <w:ind w:right="270"/>
          <w:jc w:val="right"/>
          <w:rPr>
            <w:b/>
            <w:bCs/>
            <w:sz w:val="17"/>
            <w:szCs w:val="17"/>
          </w:rPr>
        </w:pPr>
        <w:r w:rsidRPr="00CE2A86">
          <w:rPr>
            <w:b/>
            <w:bCs/>
            <w:sz w:val="17"/>
            <w:szCs w:val="17"/>
          </w:rPr>
          <w:fldChar w:fldCharType="begin"/>
        </w:r>
        <w:r w:rsidRPr="00CE2A86">
          <w:rPr>
            <w:b/>
            <w:bCs/>
            <w:sz w:val="17"/>
            <w:szCs w:val="17"/>
          </w:rPr>
          <w:instrText xml:space="preserve"> PAGE   \* MERGEFORMAT </w:instrText>
        </w:r>
        <w:r w:rsidRPr="00CE2A86">
          <w:rPr>
            <w:b/>
            <w:bCs/>
            <w:sz w:val="17"/>
            <w:szCs w:val="17"/>
          </w:rPr>
          <w:fldChar w:fldCharType="separate"/>
        </w:r>
        <w:r w:rsidRPr="00CE2A86">
          <w:rPr>
            <w:b/>
            <w:bCs/>
            <w:noProof/>
            <w:sz w:val="17"/>
            <w:szCs w:val="17"/>
          </w:rPr>
          <w:t>2</w:t>
        </w:r>
        <w:r w:rsidRPr="00CE2A86">
          <w:rPr>
            <w:b/>
            <w:bCs/>
            <w:noProof/>
            <w:sz w:val="17"/>
            <w:szCs w:val="17"/>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62712"/>
      <w:docPartObj>
        <w:docPartGallery w:val="Page Numbers (Bottom of Page)"/>
        <w:docPartUnique/>
      </w:docPartObj>
    </w:sdtPr>
    <w:sdtEndPr>
      <w:rPr>
        <w:b/>
        <w:bCs/>
        <w:noProof/>
        <w:sz w:val="17"/>
        <w:szCs w:val="17"/>
      </w:rPr>
    </w:sdtEndPr>
    <w:sdtContent>
      <w:p w14:paraId="06093A11" w14:textId="77777777" w:rsidR="00461411" w:rsidRPr="00BC69D9" w:rsidRDefault="00461411" w:rsidP="00461411">
        <w:pPr>
          <w:pStyle w:val="Footer"/>
          <w:rPr>
            <w:b/>
            <w:bCs/>
            <w:sz w:val="17"/>
            <w:szCs w:val="17"/>
          </w:rPr>
        </w:pPr>
        <w:r w:rsidRPr="00BC69D9">
          <w:rPr>
            <w:b/>
            <w:bCs/>
            <w:sz w:val="17"/>
            <w:szCs w:val="17"/>
          </w:rPr>
          <w:fldChar w:fldCharType="begin"/>
        </w:r>
        <w:r w:rsidRPr="00BC69D9">
          <w:rPr>
            <w:b/>
            <w:bCs/>
            <w:sz w:val="17"/>
            <w:szCs w:val="17"/>
          </w:rPr>
          <w:instrText xml:space="preserve"> PAGE   \* MERGEFORMAT </w:instrText>
        </w:r>
        <w:r w:rsidRPr="00BC69D9">
          <w:rPr>
            <w:b/>
            <w:bCs/>
            <w:sz w:val="17"/>
            <w:szCs w:val="17"/>
          </w:rPr>
          <w:fldChar w:fldCharType="separate"/>
        </w:r>
        <w:r w:rsidRPr="00BC69D9">
          <w:rPr>
            <w:b/>
            <w:bCs/>
            <w:noProof/>
            <w:sz w:val="17"/>
            <w:szCs w:val="17"/>
          </w:rPr>
          <w:t>2</w:t>
        </w:r>
        <w:r w:rsidRPr="00BC69D9">
          <w:rPr>
            <w:b/>
            <w:bCs/>
            <w:noProof/>
            <w:sz w:val="17"/>
            <w:szCs w:val="17"/>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560207"/>
      <w:docPartObj>
        <w:docPartGallery w:val="Page Numbers (Bottom of Page)"/>
        <w:docPartUnique/>
      </w:docPartObj>
    </w:sdtPr>
    <w:sdtEndPr>
      <w:rPr>
        <w:b/>
        <w:bCs/>
        <w:noProof/>
        <w:sz w:val="17"/>
        <w:szCs w:val="17"/>
      </w:rPr>
    </w:sdtEndPr>
    <w:sdtContent>
      <w:p w14:paraId="54AA5783" w14:textId="77777777" w:rsidR="00461411" w:rsidRPr="00CE2A86" w:rsidRDefault="00461411" w:rsidP="00461411">
        <w:pPr>
          <w:pStyle w:val="Footer"/>
          <w:ind w:right="486"/>
          <w:jc w:val="right"/>
          <w:rPr>
            <w:b/>
            <w:bCs/>
            <w:sz w:val="17"/>
            <w:szCs w:val="17"/>
          </w:rPr>
        </w:pPr>
        <w:r w:rsidRPr="00CE2A86">
          <w:rPr>
            <w:b/>
            <w:bCs/>
            <w:sz w:val="17"/>
            <w:szCs w:val="17"/>
          </w:rPr>
          <w:fldChar w:fldCharType="begin"/>
        </w:r>
        <w:r w:rsidRPr="00CE2A86">
          <w:rPr>
            <w:b/>
            <w:bCs/>
            <w:sz w:val="17"/>
            <w:szCs w:val="17"/>
          </w:rPr>
          <w:instrText xml:space="preserve"> PAGE   \* MERGEFORMAT </w:instrText>
        </w:r>
        <w:r w:rsidRPr="00CE2A86">
          <w:rPr>
            <w:b/>
            <w:bCs/>
            <w:sz w:val="17"/>
            <w:szCs w:val="17"/>
          </w:rPr>
          <w:fldChar w:fldCharType="separate"/>
        </w:r>
        <w:r w:rsidRPr="00CE2A86">
          <w:rPr>
            <w:b/>
            <w:bCs/>
            <w:noProof/>
            <w:sz w:val="17"/>
            <w:szCs w:val="17"/>
          </w:rPr>
          <w:t>2</w:t>
        </w:r>
        <w:r w:rsidRPr="00CE2A86">
          <w:rPr>
            <w:b/>
            <w:bCs/>
            <w:noProof/>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0ECF" w14:textId="77777777" w:rsidR="00A502F6" w:rsidRDefault="00A502F6" w:rsidP="00441061">
      <w:r>
        <w:separator/>
      </w:r>
    </w:p>
  </w:footnote>
  <w:footnote w:type="continuationSeparator" w:id="0">
    <w:p w14:paraId="6DDC145B" w14:textId="77777777" w:rsidR="00A502F6" w:rsidRDefault="00A502F6" w:rsidP="00441061">
      <w:r>
        <w:continuationSeparator/>
      </w:r>
    </w:p>
  </w:footnote>
  <w:footnote w:type="continuationNotice" w:id="1">
    <w:p w14:paraId="0CCB7207" w14:textId="77777777" w:rsidR="00A502F6" w:rsidRDefault="00A502F6"/>
  </w:footnote>
  <w:footnote w:id="2">
    <w:p w14:paraId="1B0C4434" w14:textId="0951C538"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United Nations Development Programme (UNDP), 2022. </w:t>
      </w:r>
      <w:r w:rsidRPr="00516574">
        <w:rPr>
          <w:rFonts w:ascii="Times New Roman" w:hAnsi="Times New Roman"/>
          <w:sz w:val="16"/>
          <w:szCs w:val="16"/>
        </w:rPr>
        <w:t>Human Development Report 2021/2022</w:t>
      </w:r>
      <w:r w:rsidRPr="00974AA7">
        <w:rPr>
          <w:rFonts w:ascii="Times New Roman" w:hAnsi="Times New Roman"/>
          <w:sz w:val="16"/>
          <w:szCs w:val="16"/>
        </w:rPr>
        <w:t>.</w:t>
      </w:r>
    </w:p>
  </w:footnote>
  <w:footnote w:id="3">
    <w:p w14:paraId="40A13E6E" w14:textId="77777777"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World Bank. World Development Indicators. Based on the IDREA survey 2018/2019.</w:t>
      </w:r>
    </w:p>
  </w:footnote>
  <w:footnote w:id="4">
    <w:p w14:paraId="04E4DD01" w14:textId="202C4A68"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National Institute of Statistics (INE) and UNDP, 2020. </w:t>
      </w:r>
      <w:r w:rsidRPr="00516574">
        <w:rPr>
          <w:rFonts w:ascii="Times New Roman" w:hAnsi="Times New Roman"/>
          <w:sz w:val="16"/>
          <w:szCs w:val="16"/>
        </w:rPr>
        <w:t>Multidimensional Poverty in Angola</w:t>
      </w:r>
      <w:r w:rsidRPr="00974AA7">
        <w:rPr>
          <w:rFonts w:ascii="Times New Roman" w:hAnsi="Times New Roman"/>
          <w:sz w:val="16"/>
          <w:szCs w:val="16"/>
        </w:rPr>
        <w:t>. Based on Demographic and Health Survey (IIMS) 2015/2016</w:t>
      </w:r>
      <w:r w:rsidR="00516574">
        <w:rPr>
          <w:rFonts w:ascii="Times New Roman" w:hAnsi="Times New Roman"/>
          <w:sz w:val="16"/>
          <w:szCs w:val="16"/>
        </w:rPr>
        <w:t xml:space="preserve"> data</w:t>
      </w:r>
      <w:r w:rsidRPr="00974AA7">
        <w:rPr>
          <w:rFonts w:ascii="Times New Roman" w:hAnsi="Times New Roman"/>
          <w:sz w:val="16"/>
          <w:szCs w:val="16"/>
        </w:rPr>
        <w:t xml:space="preserve">. </w:t>
      </w:r>
    </w:p>
  </w:footnote>
  <w:footnote w:id="5">
    <w:p w14:paraId="5AFF1713" w14:textId="0C531EC8"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UNDP, 2022</w:t>
      </w:r>
      <w:r w:rsidR="00516574">
        <w:rPr>
          <w:rFonts w:ascii="Times New Roman" w:hAnsi="Times New Roman"/>
          <w:sz w:val="16"/>
          <w:szCs w:val="16"/>
        </w:rPr>
        <w:t>, op cit</w:t>
      </w:r>
      <w:r w:rsidRPr="00974AA7">
        <w:rPr>
          <w:rFonts w:ascii="Times New Roman" w:hAnsi="Times New Roman"/>
          <w:sz w:val="16"/>
          <w:szCs w:val="16"/>
        </w:rPr>
        <w:t>.</w:t>
      </w:r>
    </w:p>
  </w:footnote>
  <w:footnote w:id="6">
    <w:p w14:paraId="07251816" w14:textId="77777777"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Ministry of Energy and Water (MINEA). See also the 2021 Voluntary National Review of Angola.</w:t>
      </w:r>
    </w:p>
  </w:footnote>
  <w:footnote w:id="7">
    <w:p w14:paraId="3519B1D9" w14:textId="3DE4B4C5"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INE, 2019. IDREA survey 2018/2019.</w:t>
      </w:r>
    </w:p>
  </w:footnote>
  <w:footnote w:id="8">
    <w:p w14:paraId="35C8B1F7" w14:textId="4AAA5DAC"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INE, 2023. Report on cybersecurity and digital services. Based on 2021 data.</w:t>
      </w:r>
    </w:p>
  </w:footnote>
  <w:footnote w:id="9">
    <w:p w14:paraId="6F602C4A" w14:textId="77777777"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Ministry of Finance. Report of the 2023 national budget.</w:t>
      </w:r>
    </w:p>
  </w:footnote>
  <w:footnote w:id="10">
    <w:p w14:paraId="579011BC" w14:textId="658D9F49"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INE.</w:t>
      </w:r>
    </w:p>
  </w:footnote>
  <w:footnote w:id="11">
    <w:p w14:paraId="4D054711" w14:textId="77777777"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National Bank of Angola (BNA).</w:t>
      </w:r>
    </w:p>
  </w:footnote>
  <w:footnote w:id="12">
    <w:p w14:paraId="5E8434FC" w14:textId="275050A1"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w:t>
      </w:r>
      <w:r w:rsidR="00516574" w:rsidRPr="00974AA7">
        <w:rPr>
          <w:rFonts w:ascii="Times New Roman" w:hAnsi="Times New Roman"/>
          <w:sz w:val="16"/>
          <w:szCs w:val="16"/>
        </w:rPr>
        <w:t>INE</w:t>
      </w:r>
      <w:r w:rsidRPr="00974AA7">
        <w:rPr>
          <w:rFonts w:ascii="Times New Roman" w:hAnsi="Times New Roman"/>
          <w:sz w:val="16"/>
          <w:szCs w:val="16"/>
        </w:rPr>
        <w:t>.</w:t>
      </w:r>
    </w:p>
  </w:footnote>
  <w:footnote w:id="13">
    <w:p w14:paraId="10F19146" w14:textId="1F983BFB" w:rsidR="00974AA7" w:rsidRPr="00974AA7" w:rsidRDefault="00974AA7" w:rsidP="00974AA7">
      <w:pPr>
        <w:pStyle w:val="FootnoteText"/>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w:t>
      </w:r>
      <w:r w:rsidR="00516574" w:rsidRPr="00974AA7">
        <w:rPr>
          <w:rFonts w:ascii="Times New Roman" w:hAnsi="Times New Roman"/>
          <w:sz w:val="16"/>
          <w:szCs w:val="16"/>
        </w:rPr>
        <w:t>INE</w:t>
      </w:r>
      <w:r w:rsidRPr="00974AA7">
        <w:rPr>
          <w:rFonts w:ascii="Times New Roman" w:hAnsi="Times New Roman"/>
          <w:sz w:val="16"/>
          <w:szCs w:val="16"/>
        </w:rPr>
        <w:t>.</w:t>
      </w:r>
    </w:p>
  </w:footnote>
  <w:footnote w:id="14">
    <w:p w14:paraId="1E5EE939" w14:textId="278FA1D4"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w:t>
      </w:r>
      <w:r w:rsidR="00516574" w:rsidRPr="00974AA7">
        <w:rPr>
          <w:rFonts w:ascii="Times New Roman" w:hAnsi="Times New Roman"/>
          <w:sz w:val="16"/>
          <w:szCs w:val="16"/>
        </w:rPr>
        <w:t>INE</w:t>
      </w:r>
      <w:r w:rsidRPr="00974AA7">
        <w:rPr>
          <w:rFonts w:ascii="Times New Roman" w:hAnsi="Times New Roman"/>
          <w:sz w:val="16"/>
          <w:szCs w:val="16"/>
        </w:rPr>
        <w:t>.</w:t>
      </w:r>
    </w:p>
  </w:footnote>
  <w:footnote w:id="15">
    <w:p w14:paraId="3A25EB6D" w14:textId="48A45A24"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United Nations Population Fund (UNFPA), 2023. State of World Population Report 2023.</w:t>
      </w:r>
    </w:p>
  </w:footnote>
  <w:footnote w:id="16">
    <w:p w14:paraId="5BC58585" w14:textId="7AB68EDE"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w:t>
      </w:r>
      <w:r w:rsidR="00516574" w:rsidRPr="00974AA7">
        <w:rPr>
          <w:rFonts w:ascii="Times New Roman" w:hAnsi="Times New Roman"/>
          <w:sz w:val="16"/>
          <w:szCs w:val="16"/>
        </w:rPr>
        <w:t>INE</w:t>
      </w:r>
      <w:r w:rsidRPr="00974AA7">
        <w:rPr>
          <w:rFonts w:ascii="Times New Roman" w:hAnsi="Times New Roman"/>
          <w:sz w:val="16"/>
          <w:szCs w:val="16"/>
        </w:rPr>
        <w:t>.</w:t>
      </w:r>
    </w:p>
  </w:footnote>
  <w:footnote w:id="17">
    <w:p w14:paraId="43A01FC0" w14:textId="215F5D91"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w:t>
      </w:r>
      <w:r w:rsidR="00516574" w:rsidRPr="00974AA7">
        <w:rPr>
          <w:rFonts w:ascii="Times New Roman" w:hAnsi="Times New Roman"/>
          <w:sz w:val="16"/>
          <w:szCs w:val="16"/>
        </w:rPr>
        <w:t>INE</w:t>
      </w:r>
      <w:r w:rsidRPr="00974AA7">
        <w:rPr>
          <w:rFonts w:ascii="Times New Roman" w:hAnsi="Times New Roman"/>
          <w:sz w:val="16"/>
          <w:szCs w:val="16"/>
        </w:rPr>
        <w:t>, 2016</w:t>
      </w:r>
      <w:r w:rsidR="00516574">
        <w:rPr>
          <w:rFonts w:ascii="Times New Roman" w:hAnsi="Times New Roman"/>
          <w:sz w:val="16"/>
          <w:szCs w:val="16"/>
        </w:rPr>
        <w:t xml:space="preserve"> and </w:t>
      </w:r>
      <w:r w:rsidRPr="00974AA7">
        <w:rPr>
          <w:rFonts w:ascii="Times New Roman" w:hAnsi="Times New Roman"/>
          <w:sz w:val="16"/>
          <w:szCs w:val="16"/>
        </w:rPr>
        <w:t>IIMS 2015/2016.</w:t>
      </w:r>
    </w:p>
  </w:footnote>
  <w:footnote w:id="18">
    <w:p w14:paraId="70EED9D2" w14:textId="62D7BA41"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Government of Angola, 2021. 2021 Voluntary National Review (VNR) of Angola.</w:t>
      </w:r>
    </w:p>
  </w:footnote>
  <w:footnote w:id="19">
    <w:p w14:paraId="16273BA9" w14:textId="77777777"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World Health Organization (WHO), 2022. Global Tuberculosis Report 2022.</w:t>
      </w:r>
    </w:p>
  </w:footnote>
  <w:footnote w:id="20">
    <w:p w14:paraId="7A288B4C" w14:textId="4E4151A7" w:rsidR="00974AA7" w:rsidRPr="00974AA7" w:rsidRDefault="00974AA7" w:rsidP="00974AA7">
      <w:pPr>
        <w:pStyle w:val="FootnoteText"/>
        <w:jc w:val="both"/>
        <w:rPr>
          <w:rFonts w:ascii="Times New Roman" w:hAnsi="Times New Roman"/>
          <w:sz w:val="16"/>
          <w:szCs w:val="16"/>
        </w:rPr>
      </w:pPr>
      <w:r w:rsidRPr="00974AA7">
        <w:rPr>
          <w:rStyle w:val="FootnoteReference"/>
          <w:rFonts w:ascii="Times New Roman" w:hAnsi="Times New Roman"/>
          <w:sz w:val="16"/>
          <w:szCs w:val="16"/>
        </w:rPr>
        <w:footnoteRef/>
      </w:r>
      <w:r w:rsidRPr="00974AA7">
        <w:rPr>
          <w:rFonts w:ascii="Times New Roman" w:hAnsi="Times New Roman"/>
          <w:sz w:val="16"/>
          <w:szCs w:val="16"/>
        </w:rPr>
        <w:t xml:space="preserve"> WHO, 2022. World Malaria Report 2022.</w:t>
      </w:r>
    </w:p>
  </w:footnote>
  <w:footnote w:id="21">
    <w:p w14:paraId="15E79B11" w14:textId="77777777" w:rsidR="00E60FA5" w:rsidRDefault="00974AA7" w:rsidP="00E60FA5">
      <w:pPr>
        <w:pStyle w:val="FootnoteText"/>
        <w:jc w:val="both"/>
        <w:rPr>
          <w:rFonts w:ascii="Times New Roman" w:hAnsi="Times New Roman"/>
          <w:sz w:val="16"/>
          <w:szCs w:val="16"/>
        </w:rPr>
      </w:pPr>
      <w:r w:rsidRPr="00E60FA5">
        <w:rPr>
          <w:rStyle w:val="FootnoteReference"/>
          <w:rFonts w:ascii="Times New Roman" w:hAnsi="Times New Roman"/>
          <w:sz w:val="16"/>
          <w:szCs w:val="16"/>
        </w:rPr>
        <w:footnoteRef/>
      </w:r>
      <w:r w:rsidRPr="00E60FA5">
        <w:rPr>
          <w:rFonts w:ascii="Times New Roman" w:hAnsi="Times New Roman"/>
          <w:sz w:val="16"/>
          <w:szCs w:val="16"/>
        </w:rPr>
        <w:t xml:space="preserve"> Integrated Food Security Phase Classification (IPC). Angola: Acute Food Insecurity Situation and Acute Malnutrition Situation</w:t>
      </w:r>
      <w:r w:rsidR="00EC004C" w:rsidRPr="00E60FA5">
        <w:rPr>
          <w:rFonts w:ascii="Times New Roman" w:hAnsi="Times New Roman"/>
          <w:sz w:val="16"/>
          <w:szCs w:val="16"/>
        </w:rPr>
        <w:t>,</w:t>
      </w:r>
      <w:r w:rsidRPr="00E60FA5">
        <w:rPr>
          <w:rFonts w:ascii="Times New Roman" w:hAnsi="Times New Roman"/>
          <w:sz w:val="16"/>
          <w:szCs w:val="16"/>
        </w:rPr>
        <w:t xml:space="preserve"> April </w:t>
      </w:r>
    </w:p>
    <w:p w14:paraId="0074D8B3" w14:textId="6ED36CA8" w:rsidR="00974AA7" w:rsidRPr="00E60FA5" w:rsidRDefault="00E60FA5" w:rsidP="00E60FA5">
      <w:pPr>
        <w:pStyle w:val="FootnoteText"/>
        <w:jc w:val="both"/>
        <w:rPr>
          <w:rFonts w:ascii="Times New Roman" w:hAnsi="Times New Roman"/>
          <w:sz w:val="15"/>
          <w:szCs w:val="15"/>
        </w:rPr>
      </w:pPr>
      <w:r>
        <w:rPr>
          <w:rFonts w:ascii="Times New Roman" w:hAnsi="Times New Roman"/>
          <w:sz w:val="16"/>
          <w:szCs w:val="16"/>
        </w:rPr>
        <w:t xml:space="preserve">    </w:t>
      </w:r>
      <w:r w:rsidR="00974AA7" w:rsidRPr="00E60FA5">
        <w:rPr>
          <w:rFonts w:ascii="Times New Roman" w:hAnsi="Times New Roman"/>
          <w:sz w:val="16"/>
          <w:szCs w:val="16"/>
        </w:rPr>
        <w:t>2021-March 2022.</w:t>
      </w:r>
    </w:p>
  </w:footnote>
  <w:footnote w:id="22">
    <w:p w14:paraId="2079217A" w14:textId="77777777" w:rsidR="00974AA7" w:rsidRPr="000C5360" w:rsidRDefault="00974AA7" w:rsidP="00974AA7">
      <w:pPr>
        <w:pStyle w:val="FootnoteText"/>
        <w:jc w:val="both"/>
        <w:rPr>
          <w:rFonts w:asciiTheme="majorBidi" w:hAnsiTheme="majorBidi" w:cstheme="majorBidi"/>
          <w:sz w:val="16"/>
          <w:szCs w:val="16"/>
        </w:rPr>
      </w:pPr>
      <w:r w:rsidRPr="000C5360">
        <w:rPr>
          <w:rStyle w:val="FootnoteReference"/>
          <w:rFonts w:asciiTheme="majorBidi" w:hAnsiTheme="majorBidi" w:cstheme="majorBidi"/>
          <w:sz w:val="16"/>
          <w:szCs w:val="16"/>
        </w:rPr>
        <w:footnoteRef/>
      </w:r>
      <w:r w:rsidRPr="000C5360">
        <w:rPr>
          <w:rFonts w:asciiTheme="majorBidi" w:hAnsiTheme="majorBidi" w:cstheme="majorBidi"/>
          <w:sz w:val="16"/>
          <w:szCs w:val="16"/>
        </w:rPr>
        <w:t xml:space="preserve"> Latest available data. The indicator is expected to be updated by 2025.</w:t>
      </w:r>
    </w:p>
  </w:footnote>
  <w:footnote w:id="23">
    <w:p w14:paraId="62060E60" w14:textId="77777777" w:rsidR="00974AA7" w:rsidRPr="000C5360" w:rsidRDefault="00974AA7" w:rsidP="00974AA7">
      <w:pPr>
        <w:pStyle w:val="FootnoteText"/>
        <w:jc w:val="both"/>
        <w:rPr>
          <w:rFonts w:asciiTheme="majorBidi" w:hAnsiTheme="majorBidi" w:cstheme="majorBidi"/>
          <w:sz w:val="16"/>
          <w:szCs w:val="16"/>
        </w:rPr>
      </w:pPr>
      <w:r w:rsidRPr="000C5360">
        <w:rPr>
          <w:rStyle w:val="FootnoteReference"/>
          <w:rFonts w:asciiTheme="majorBidi" w:hAnsiTheme="majorBidi" w:cstheme="majorBidi"/>
          <w:sz w:val="16"/>
          <w:szCs w:val="16"/>
        </w:rPr>
        <w:footnoteRef/>
      </w:r>
      <w:r w:rsidRPr="000C5360">
        <w:rPr>
          <w:rFonts w:asciiTheme="majorBidi" w:hAnsiTheme="majorBidi" w:cstheme="majorBidi"/>
          <w:sz w:val="16"/>
          <w:szCs w:val="16"/>
        </w:rPr>
        <w:t xml:space="preserve"> Rating scale at the country level: 0 = Very low, 1 = Low, 2 = Neither low nor high, 3 = High, 4 = Very high.</w:t>
      </w:r>
    </w:p>
  </w:footnote>
  <w:footnote w:id="24">
    <w:p w14:paraId="1D62568A" w14:textId="77777777" w:rsidR="00D6475F" w:rsidRPr="000C5360" w:rsidRDefault="00D6475F" w:rsidP="00974AA7">
      <w:pPr>
        <w:pStyle w:val="FootnoteText"/>
        <w:jc w:val="both"/>
        <w:rPr>
          <w:rFonts w:asciiTheme="majorBidi" w:hAnsiTheme="majorBidi" w:cstheme="majorBidi"/>
          <w:sz w:val="16"/>
          <w:szCs w:val="16"/>
        </w:rPr>
      </w:pPr>
      <w:r w:rsidRPr="000C5360">
        <w:rPr>
          <w:rStyle w:val="FootnoteReference"/>
          <w:rFonts w:asciiTheme="majorBidi" w:hAnsiTheme="majorBidi" w:cstheme="majorBidi"/>
          <w:sz w:val="16"/>
          <w:szCs w:val="16"/>
        </w:rPr>
        <w:footnoteRef/>
      </w:r>
      <w:r w:rsidRPr="000C5360">
        <w:rPr>
          <w:rFonts w:asciiTheme="majorBidi" w:hAnsiTheme="majorBidi" w:cstheme="majorBidi"/>
          <w:sz w:val="16"/>
          <w:szCs w:val="16"/>
        </w:rPr>
        <w:t xml:space="preserve"> Rating scale at the country level: 0 = Very low, 1 = Low, 2 = Neither low nor high, 3 = High, 4 = Very high.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tblBorders>
        <w:bottom w:val="single" w:sz="2" w:space="0" w:color="000000"/>
      </w:tblBorders>
      <w:tblLayout w:type="fixed"/>
      <w:tblCellMar>
        <w:left w:w="0" w:type="dxa"/>
        <w:right w:w="0" w:type="dxa"/>
      </w:tblCellMar>
      <w:tblLook w:val="0000" w:firstRow="0" w:lastRow="0" w:firstColumn="0" w:lastColumn="0" w:noHBand="0" w:noVBand="0"/>
    </w:tblPr>
    <w:tblGrid>
      <w:gridCol w:w="4668"/>
      <w:gridCol w:w="4872"/>
    </w:tblGrid>
    <w:tr w:rsidR="00BC69D9" w:rsidRPr="00657A41" w14:paraId="6C8F084B" w14:textId="77777777" w:rsidTr="00CE2A86">
      <w:trPr>
        <w:trHeight w:hRule="exact" w:val="864"/>
      </w:trPr>
      <w:tc>
        <w:tcPr>
          <w:tcW w:w="4668" w:type="dxa"/>
          <w:shd w:val="clear" w:color="auto" w:fill="auto"/>
          <w:vAlign w:val="bottom"/>
        </w:tcPr>
        <w:p w14:paraId="51B1F22D" w14:textId="7E9D6737" w:rsidR="00BC69D9" w:rsidRPr="00657A41" w:rsidRDefault="00BC69D9" w:rsidP="00BC69D9">
          <w:pPr>
            <w:tabs>
              <w:tab w:val="center" w:pos="4320"/>
              <w:tab w:val="right" w:pos="8640"/>
            </w:tabs>
            <w:spacing w:after="80"/>
            <w:rPr>
              <w:b/>
              <w:noProof/>
              <w:sz w:val="17"/>
            </w:rPr>
          </w:pPr>
          <w:bookmarkStart w:id="3" w:name="_Hlk72161445"/>
          <w:r w:rsidRPr="00657A41">
            <w:rPr>
              <w:b/>
              <w:noProof/>
              <w:sz w:val="17"/>
            </w:rPr>
            <w:t>DP/DCP/</w:t>
          </w:r>
          <w:r w:rsidR="00974AA7">
            <w:rPr>
              <w:b/>
              <w:noProof/>
              <w:sz w:val="17"/>
            </w:rPr>
            <w:t>AGO</w:t>
          </w:r>
          <w:r w:rsidRPr="00657A41">
            <w:rPr>
              <w:b/>
              <w:noProof/>
              <w:sz w:val="17"/>
            </w:rPr>
            <w:t>/</w:t>
          </w:r>
          <w:r w:rsidR="00974AA7">
            <w:rPr>
              <w:b/>
              <w:noProof/>
              <w:sz w:val="17"/>
            </w:rPr>
            <w:t>5</w:t>
          </w:r>
        </w:p>
      </w:tc>
      <w:tc>
        <w:tcPr>
          <w:tcW w:w="4872" w:type="dxa"/>
          <w:shd w:val="clear" w:color="auto" w:fill="auto"/>
          <w:vAlign w:val="bottom"/>
        </w:tcPr>
        <w:p w14:paraId="32A484FF" w14:textId="77777777" w:rsidR="00BC69D9" w:rsidRPr="00657A41" w:rsidRDefault="00BC69D9" w:rsidP="00BC69D9">
          <w:pPr>
            <w:tabs>
              <w:tab w:val="center" w:pos="4320"/>
              <w:tab w:val="right" w:pos="8640"/>
            </w:tabs>
            <w:jc w:val="right"/>
            <w:rPr>
              <w:b/>
              <w:noProof/>
              <w:sz w:val="17"/>
            </w:rPr>
          </w:pPr>
        </w:p>
      </w:tc>
    </w:tr>
    <w:bookmarkEnd w:id="3"/>
  </w:tbl>
  <w:p w14:paraId="00066E83" w14:textId="77777777" w:rsidR="00BC69D9" w:rsidRPr="00BC69D9" w:rsidRDefault="00BC69D9">
    <w:pPr>
      <w:pStyle w:val="Heade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2" w:type="dxa"/>
      <w:tblInd w:w="-170"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764"/>
    </w:tblGrid>
    <w:tr w:rsidR="00BC69D9" w:rsidRPr="00657A41" w14:paraId="0B6927BD" w14:textId="77777777" w:rsidTr="00BC69D9">
      <w:trPr>
        <w:trHeight w:hRule="exact" w:val="864"/>
      </w:trPr>
      <w:tc>
        <w:tcPr>
          <w:tcW w:w="4838" w:type="dxa"/>
          <w:shd w:val="clear" w:color="auto" w:fill="auto"/>
          <w:vAlign w:val="bottom"/>
        </w:tcPr>
        <w:p w14:paraId="05BAF8E6" w14:textId="77777777" w:rsidR="00BC69D9" w:rsidRPr="00657A41" w:rsidRDefault="00BC69D9" w:rsidP="00BC69D9">
          <w:pPr>
            <w:tabs>
              <w:tab w:val="center" w:pos="4320"/>
              <w:tab w:val="right" w:pos="8640"/>
            </w:tabs>
            <w:spacing w:after="80"/>
            <w:rPr>
              <w:b/>
              <w:noProof/>
              <w:sz w:val="17"/>
            </w:rPr>
          </w:pPr>
        </w:p>
      </w:tc>
      <w:tc>
        <w:tcPr>
          <w:tcW w:w="4764" w:type="dxa"/>
          <w:shd w:val="clear" w:color="auto" w:fill="auto"/>
          <w:vAlign w:val="bottom"/>
        </w:tcPr>
        <w:p w14:paraId="70EB3BFC" w14:textId="224E1E2B" w:rsidR="00BC69D9" w:rsidRPr="00657A41" w:rsidRDefault="00BC69D9" w:rsidP="00BC69D9">
          <w:pPr>
            <w:tabs>
              <w:tab w:val="center" w:pos="4320"/>
              <w:tab w:val="right" w:pos="8640"/>
            </w:tabs>
            <w:jc w:val="right"/>
            <w:rPr>
              <w:b/>
              <w:noProof/>
              <w:sz w:val="17"/>
            </w:rPr>
          </w:pPr>
          <w:r w:rsidRPr="00657A41">
            <w:rPr>
              <w:b/>
              <w:noProof/>
              <w:sz w:val="17"/>
            </w:rPr>
            <w:t>DP/DCP/</w:t>
          </w:r>
          <w:r w:rsidR="00974AA7">
            <w:rPr>
              <w:b/>
              <w:noProof/>
              <w:sz w:val="17"/>
            </w:rPr>
            <w:t>AGO</w:t>
          </w:r>
          <w:r w:rsidRPr="00657A41">
            <w:rPr>
              <w:b/>
              <w:noProof/>
              <w:sz w:val="17"/>
            </w:rPr>
            <w:t>/</w:t>
          </w:r>
          <w:r w:rsidR="00974AA7">
            <w:rPr>
              <w:b/>
              <w:noProof/>
              <w:sz w:val="17"/>
            </w:rPr>
            <w:t>5</w:t>
          </w:r>
        </w:p>
      </w:tc>
    </w:tr>
  </w:tbl>
  <w:p w14:paraId="1A102CF2" w14:textId="77777777" w:rsidR="00BC69D9" w:rsidRPr="00BC69D9" w:rsidRDefault="00BC69D9">
    <w:pPr>
      <w:pStyle w:val="Head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7" w:type="dxa"/>
      <w:tblInd w:w="-4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BC69D9" w:rsidRPr="000635E5" w14:paraId="001207A7" w14:textId="77777777" w:rsidTr="00B9471B">
      <w:trPr>
        <w:trHeight w:hRule="exact" w:val="864"/>
      </w:trPr>
      <w:tc>
        <w:tcPr>
          <w:tcW w:w="1267" w:type="dxa"/>
          <w:tcBorders>
            <w:bottom w:val="single" w:sz="4" w:space="0" w:color="auto"/>
          </w:tcBorders>
          <w:shd w:val="clear" w:color="auto" w:fill="auto"/>
          <w:vAlign w:val="bottom"/>
        </w:tcPr>
        <w:p w14:paraId="3F188231" w14:textId="77777777" w:rsidR="00BC69D9" w:rsidRPr="000635E5" w:rsidRDefault="00BC69D9" w:rsidP="00BC69D9">
          <w:pPr>
            <w:tabs>
              <w:tab w:val="center" w:pos="4320"/>
              <w:tab w:val="right" w:pos="8640"/>
            </w:tabs>
            <w:spacing w:after="120"/>
            <w:rPr>
              <w:sz w:val="17"/>
              <w:lang w:val="en-GB"/>
            </w:rPr>
          </w:pPr>
        </w:p>
      </w:tc>
      <w:tc>
        <w:tcPr>
          <w:tcW w:w="1872" w:type="dxa"/>
          <w:tcBorders>
            <w:bottom w:val="single" w:sz="4" w:space="0" w:color="auto"/>
          </w:tcBorders>
          <w:shd w:val="clear" w:color="auto" w:fill="auto"/>
          <w:vAlign w:val="bottom"/>
        </w:tcPr>
        <w:p w14:paraId="2A47723C" w14:textId="77777777" w:rsidR="00BC69D9" w:rsidRPr="000635E5" w:rsidRDefault="00BC69D9" w:rsidP="00BC69D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lang w:val="en-GB"/>
            </w:rPr>
          </w:pPr>
          <w:r w:rsidRPr="000635E5">
            <w:rPr>
              <w:spacing w:val="2"/>
              <w:w w:val="96"/>
              <w:kern w:val="14"/>
              <w:sz w:val="28"/>
              <w:lang w:val="en-GB"/>
            </w:rPr>
            <w:t>United Nations</w:t>
          </w:r>
        </w:p>
      </w:tc>
      <w:tc>
        <w:tcPr>
          <w:tcW w:w="245" w:type="dxa"/>
          <w:tcBorders>
            <w:bottom w:val="single" w:sz="4" w:space="0" w:color="auto"/>
          </w:tcBorders>
          <w:shd w:val="clear" w:color="auto" w:fill="auto"/>
          <w:vAlign w:val="bottom"/>
        </w:tcPr>
        <w:p w14:paraId="11F638DF" w14:textId="77777777" w:rsidR="00BC69D9" w:rsidRPr="000635E5" w:rsidRDefault="00BC69D9" w:rsidP="00BC69D9">
          <w:pPr>
            <w:tabs>
              <w:tab w:val="center" w:pos="4320"/>
              <w:tab w:val="right" w:pos="8640"/>
            </w:tabs>
            <w:spacing w:after="120"/>
            <w:rPr>
              <w:sz w:val="17"/>
              <w:lang w:val="en-GB"/>
            </w:rPr>
          </w:pPr>
        </w:p>
      </w:tc>
      <w:tc>
        <w:tcPr>
          <w:tcW w:w="6523" w:type="dxa"/>
          <w:gridSpan w:val="4"/>
          <w:tcBorders>
            <w:bottom w:val="single" w:sz="4" w:space="0" w:color="auto"/>
          </w:tcBorders>
          <w:shd w:val="clear" w:color="auto" w:fill="auto"/>
          <w:vAlign w:val="bottom"/>
        </w:tcPr>
        <w:p w14:paraId="2DF08B05" w14:textId="06DE656B" w:rsidR="00BC69D9" w:rsidRPr="000635E5" w:rsidRDefault="00BC69D9" w:rsidP="00BC69D9">
          <w:pPr>
            <w:suppressAutoHyphens/>
            <w:spacing w:after="80"/>
            <w:jc w:val="right"/>
            <w:rPr>
              <w:spacing w:val="4"/>
              <w:w w:val="103"/>
              <w:kern w:val="14"/>
              <w:position w:val="-4"/>
              <w:lang w:val="en-GB"/>
            </w:rPr>
          </w:pPr>
          <w:r w:rsidRPr="000635E5">
            <w:rPr>
              <w:spacing w:val="4"/>
              <w:w w:val="103"/>
              <w:kern w:val="14"/>
              <w:position w:val="-4"/>
              <w:sz w:val="40"/>
              <w:lang w:val="en-GB"/>
            </w:rPr>
            <w:t>DP</w:t>
          </w:r>
          <w:r w:rsidRPr="000635E5">
            <w:rPr>
              <w:spacing w:val="4"/>
              <w:w w:val="103"/>
              <w:kern w:val="14"/>
              <w:position w:val="-4"/>
              <w:lang w:val="en-GB"/>
            </w:rPr>
            <w:t>/DCP/</w:t>
          </w:r>
          <w:r w:rsidR="00974AA7" w:rsidRPr="000635E5">
            <w:rPr>
              <w:spacing w:val="4"/>
              <w:w w:val="103"/>
              <w:kern w:val="14"/>
              <w:position w:val="-4"/>
              <w:lang w:val="en-GB"/>
            </w:rPr>
            <w:t>AGO</w:t>
          </w:r>
          <w:r w:rsidRPr="000635E5">
            <w:rPr>
              <w:spacing w:val="4"/>
              <w:w w:val="103"/>
              <w:kern w:val="14"/>
              <w:position w:val="-4"/>
              <w:lang w:val="en-GB"/>
            </w:rPr>
            <w:t>/</w:t>
          </w:r>
          <w:r w:rsidR="00974AA7" w:rsidRPr="000635E5">
            <w:rPr>
              <w:spacing w:val="4"/>
              <w:w w:val="103"/>
              <w:kern w:val="14"/>
              <w:position w:val="-4"/>
              <w:lang w:val="en-GB"/>
            </w:rPr>
            <w:t>5</w:t>
          </w:r>
        </w:p>
      </w:tc>
    </w:tr>
    <w:tr w:rsidR="00BC69D9" w:rsidRPr="000635E5" w14:paraId="46C5DFD1" w14:textId="77777777" w:rsidTr="00B9471B">
      <w:trPr>
        <w:gridAfter w:val="1"/>
        <w:wAfter w:w="28" w:type="dxa"/>
        <w:trHeight w:hRule="exact" w:val="2880"/>
      </w:trPr>
      <w:tc>
        <w:tcPr>
          <w:tcW w:w="1267" w:type="dxa"/>
          <w:tcBorders>
            <w:top w:val="single" w:sz="4" w:space="0" w:color="auto"/>
            <w:bottom w:val="single" w:sz="12" w:space="0" w:color="auto"/>
          </w:tcBorders>
          <w:shd w:val="clear" w:color="auto" w:fill="auto"/>
        </w:tcPr>
        <w:p w14:paraId="4EBC340F" w14:textId="77777777" w:rsidR="00BC69D9" w:rsidRPr="000635E5" w:rsidRDefault="00BC69D9" w:rsidP="00BC69D9">
          <w:pPr>
            <w:tabs>
              <w:tab w:val="center" w:pos="4320"/>
              <w:tab w:val="right" w:pos="8640"/>
            </w:tabs>
            <w:spacing w:before="109"/>
            <w:rPr>
              <w:sz w:val="17"/>
              <w:lang w:val="en-GB"/>
            </w:rPr>
          </w:pPr>
          <w:r w:rsidRPr="000635E5">
            <w:rPr>
              <w:sz w:val="17"/>
              <w:lang w:val="en-GB"/>
            </w:rPr>
            <w:t xml:space="preserve"> </w:t>
          </w:r>
          <w:r w:rsidRPr="000635E5">
            <w:rPr>
              <w:noProof/>
              <w:sz w:val="17"/>
              <w:lang w:val="en-GB" w:eastAsia="en-GB"/>
            </w:rPr>
            <w:drawing>
              <wp:inline distT="0" distB="0" distL="0" distR="0" wp14:anchorId="302832E3" wp14:editId="1134FFC4">
                <wp:extent cx="702945" cy="592455"/>
                <wp:effectExtent l="0" t="0" r="1905" b="0"/>
                <wp:docPr id="9" name="Picture 9"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592455"/>
                        </a:xfrm>
                        <a:prstGeom prst="rect">
                          <a:avLst/>
                        </a:prstGeom>
                        <a:noFill/>
                        <a:ln>
                          <a:noFill/>
                        </a:ln>
                      </pic:spPr>
                    </pic:pic>
                  </a:graphicData>
                </a:graphic>
              </wp:inline>
            </w:drawing>
          </w:r>
        </w:p>
        <w:p w14:paraId="25260B9A" w14:textId="77777777" w:rsidR="00BC69D9" w:rsidRPr="000635E5" w:rsidRDefault="00BC69D9" w:rsidP="00BC69D9">
          <w:pPr>
            <w:tabs>
              <w:tab w:val="center" w:pos="4320"/>
              <w:tab w:val="right" w:pos="8640"/>
            </w:tabs>
            <w:spacing w:before="109"/>
            <w:rPr>
              <w:sz w:val="17"/>
              <w:lang w:val="en-GB"/>
            </w:rPr>
          </w:pPr>
        </w:p>
      </w:tc>
      <w:tc>
        <w:tcPr>
          <w:tcW w:w="5227" w:type="dxa"/>
          <w:gridSpan w:val="3"/>
          <w:tcBorders>
            <w:top w:val="single" w:sz="4" w:space="0" w:color="auto"/>
            <w:bottom w:val="single" w:sz="12" w:space="0" w:color="auto"/>
          </w:tcBorders>
          <w:shd w:val="clear" w:color="auto" w:fill="auto"/>
        </w:tcPr>
        <w:p w14:paraId="55CA1CE0" w14:textId="33E2BBBE" w:rsidR="00BC69D9" w:rsidRPr="000635E5" w:rsidRDefault="00F8489E" w:rsidP="00BC69D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utlineLvl w:val="0"/>
            <w:rPr>
              <w:b/>
              <w:bCs/>
              <w:spacing w:val="-4"/>
              <w:w w:val="98"/>
              <w:kern w:val="14"/>
              <w:sz w:val="34"/>
              <w:lang w:val="en-GB"/>
            </w:rPr>
          </w:pPr>
          <w:r w:rsidRPr="000635E5">
            <w:rPr>
              <w:b/>
              <w:bCs/>
              <w:sz w:val="34"/>
              <w:lang w:val="en-GB"/>
            </w:rPr>
            <w:t>Executive Board of the</w:t>
          </w:r>
          <w:r w:rsidRPr="000635E5">
            <w:rPr>
              <w:b/>
              <w:bCs/>
              <w:sz w:val="34"/>
              <w:lang w:val="en-GB"/>
            </w:rPr>
            <w:br/>
            <w:t>United Nations Development</w:t>
          </w:r>
          <w:r w:rsidRPr="000635E5">
            <w:rPr>
              <w:b/>
              <w:bCs/>
              <w:sz w:val="34"/>
              <w:lang w:val="en-GB"/>
            </w:rPr>
            <w:br/>
            <w:t>Programme, the United Nations Population Fund and the United Nations Office for Project Services</w:t>
          </w:r>
        </w:p>
      </w:tc>
      <w:tc>
        <w:tcPr>
          <w:tcW w:w="245" w:type="dxa"/>
          <w:tcBorders>
            <w:top w:val="single" w:sz="4" w:space="0" w:color="auto"/>
            <w:bottom w:val="single" w:sz="12" w:space="0" w:color="auto"/>
          </w:tcBorders>
          <w:shd w:val="clear" w:color="auto" w:fill="auto"/>
        </w:tcPr>
        <w:p w14:paraId="45C2927E" w14:textId="77777777" w:rsidR="00BC69D9" w:rsidRPr="000635E5" w:rsidRDefault="00BC69D9" w:rsidP="00BC69D9">
          <w:pPr>
            <w:tabs>
              <w:tab w:val="center" w:pos="4320"/>
              <w:tab w:val="right" w:pos="8640"/>
            </w:tabs>
            <w:spacing w:before="109"/>
            <w:rPr>
              <w:sz w:val="17"/>
              <w:lang w:val="en-GB"/>
            </w:rPr>
          </w:pPr>
        </w:p>
      </w:tc>
      <w:tc>
        <w:tcPr>
          <w:tcW w:w="3140" w:type="dxa"/>
          <w:tcBorders>
            <w:top w:val="single" w:sz="4" w:space="0" w:color="auto"/>
            <w:bottom w:val="single" w:sz="12" w:space="0" w:color="auto"/>
          </w:tcBorders>
          <w:shd w:val="clear" w:color="auto" w:fill="auto"/>
        </w:tcPr>
        <w:p w14:paraId="547AD2CD" w14:textId="77777777" w:rsidR="00BC69D9" w:rsidRPr="000635E5" w:rsidRDefault="00BC69D9" w:rsidP="00BC69D9">
          <w:pPr>
            <w:suppressAutoHyphens/>
            <w:spacing w:before="240" w:line="240" w:lineRule="exact"/>
            <w:rPr>
              <w:spacing w:val="4"/>
              <w:w w:val="103"/>
              <w:kern w:val="14"/>
              <w:lang w:val="en-GB"/>
            </w:rPr>
          </w:pPr>
          <w:r w:rsidRPr="000635E5">
            <w:rPr>
              <w:spacing w:val="4"/>
              <w:w w:val="103"/>
              <w:kern w:val="14"/>
              <w:lang w:val="en-GB"/>
            </w:rPr>
            <w:t>Distr.: General</w:t>
          </w:r>
        </w:p>
        <w:p w14:paraId="06F5D2F3" w14:textId="39EB5140" w:rsidR="00BC69D9" w:rsidRPr="000635E5" w:rsidRDefault="001005A8" w:rsidP="00BC69D9">
          <w:pPr>
            <w:suppressAutoHyphens/>
            <w:spacing w:line="240" w:lineRule="exact"/>
            <w:rPr>
              <w:spacing w:val="4"/>
              <w:w w:val="103"/>
              <w:kern w:val="14"/>
              <w:lang w:val="en-GB"/>
            </w:rPr>
          </w:pPr>
          <w:r>
            <w:rPr>
              <w:spacing w:val="4"/>
              <w:w w:val="103"/>
              <w:kern w:val="14"/>
              <w:lang w:val="en-GB"/>
            </w:rPr>
            <w:t>2</w:t>
          </w:r>
          <w:r w:rsidR="00974AA7" w:rsidRPr="000635E5">
            <w:rPr>
              <w:spacing w:val="4"/>
              <w:w w:val="103"/>
              <w:kern w:val="14"/>
              <w:lang w:val="en-GB"/>
            </w:rPr>
            <w:t>9</w:t>
          </w:r>
          <w:r w:rsidR="00145CB0" w:rsidRPr="000635E5">
            <w:rPr>
              <w:spacing w:val="4"/>
              <w:w w:val="103"/>
              <w:kern w:val="14"/>
              <w:lang w:val="en-GB"/>
            </w:rPr>
            <w:t xml:space="preserve"> </w:t>
          </w:r>
          <w:r>
            <w:rPr>
              <w:spacing w:val="4"/>
              <w:w w:val="103"/>
              <w:kern w:val="14"/>
              <w:lang w:val="en-GB"/>
            </w:rPr>
            <w:t>June</w:t>
          </w:r>
          <w:r w:rsidR="00BC69D9" w:rsidRPr="000635E5">
            <w:rPr>
              <w:spacing w:val="4"/>
              <w:w w:val="103"/>
              <w:kern w:val="14"/>
              <w:lang w:val="en-GB"/>
            </w:rPr>
            <w:t xml:space="preserve"> 202</w:t>
          </w:r>
          <w:r w:rsidR="00974AA7" w:rsidRPr="000635E5">
            <w:rPr>
              <w:spacing w:val="4"/>
              <w:w w:val="103"/>
              <w:kern w:val="14"/>
              <w:lang w:val="en-GB"/>
            </w:rPr>
            <w:t>3</w:t>
          </w:r>
        </w:p>
        <w:p w14:paraId="1FAA6AE7" w14:textId="77777777" w:rsidR="00BC69D9" w:rsidRPr="000635E5" w:rsidRDefault="00BC69D9" w:rsidP="00BC69D9">
          <w:pPr>
            <w:suppressAutoHyphens/>
            <w:spacing w:line="240" w:lineRule="exact"/>
            <w:rPr>
              <w:spacing w:val="4"/>
              <w:w w:val="103"/>
              <w:kern w:val="14"/>
              <w:lang w:val="en-GB"/>
            </w:rPr>
          </w:pPr>
        </w:p>
        <w:p w14:paraId="67D3E35A" w14:textId="77777777" w:rsidR="00BC69D9" w:rsidRPr="000635E5" w:rsidRDefault="00BC69D9" w:rsidP="00BC69D9">
          <w:pPr>
            <w:suppressAutoHyphens/>
            <w:spacing w:line="240" w:lineRule="exact"/>
            <w:rPr>
              <w:spacing w:val="4"/>
              <w:w w:val="103"/>
              <w:kern w:val="14"/>
              <w:lang w:val="en-GB"/>
            </w:rPr>
          </w:pPr>
          <w:r w:rsidRPr="000635E5">
            <w:rPr>
              <w:spacing w:val="4"/>
              <w:w w:val="103"/>
              <w:kern w:val="14"/>
              <w:lang w:val="en-GB"/>
            </w:rPr>
            <w:t>Original: English</w:t>
          </w:r>
        </w:p>
      </w:tc>
    </w:tr>
  </w:tbl>
  <w:p w14:paraId="7C7F644D" w14:textId="77777777" w:rsidR="00BC69D9" w:rsidRPr="000635E5" w:rsidRDefault="00BC69D9">
    <w:pPr>
      <w:pStyle w:val="Header"/>
      <w:rPr>
        <w:sz w:val="6"/>
        <w:szCs w:val="6"/>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6A" w14:textId="0306CC95" w:rsidR="003D3682" w:rsidRDefault="00BD085F">
    <w:pPr>
      <w:pStyle w:val="Header"/>
    </w:pPr>
    <w:r>
      <w:rPr>
        <w:noProof/>
      </w:rPr>
      <mc:AlternateContent>
        <mc:Choice Requires="wps">
          <w:drawing>
            <wp:anchor distT="0" distB="0" distL="114300" distR="114300" simplePos="0" relativeHeight="251658752" behindDoc="0" locked="0" layoutInCell="0" allowOverlap="1" wp14:anchorId="7EA02003" wp14:editId="35D5053E">
              <wp:simplePos x="0" y="0"/>
              <wp:positionH relativeFrom="margin">
                <wp:align>left</wp:align>
              </wp:positionH>
              <wp:positionV relativeFrom="paragraph">
                <wp:posOffset>-304800</wp:posOffset>
              </wp:positionV>
              <wp:extent cx="8242300" cy="640080"/>
              <wp:effectExtent l="0" t="0" r="635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0" cy="640080"/>
                      </a:xfrm>
                      <a:prstGeom prst="rect">
                        <a:avLst/>
                      </a:prstGeom>
                      <a:solidFill>
                        <a:srgbClr val="FFFFFF"/>
                      </a:solidFill>
                      <a:ln>
                        <a:noFill/>
                      </a:ln>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3D3682" w:rsidRPr="005841A3" w14:paraId="2440D571" w14:textId="77777777">
                            <w:trPr>
                              <w:trHeight w:hRule="exact" w:val="864"/>
                            </w:trPr>
                            <w:tc>
                              <w:tcPr>
                                <w:tcW w:w="4838" w:type="dxa"/>
                                <w:tcBorders>
                                  <w:bottom w:val="single" w:sz="4" w:space="0" w:color="auto"/>
                                </w:tcBorders>
                                <w:vAlign w:val="bottom"/>
                              </w:tcPr>
                              <w:p w14:paraId="2440D56F" w14:textId="1B2B5167" w:rsidR="003D3682" w:rsidRPr="007C6F85" w:rsidRDefault="003D3682"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sidR="00974AA7">
                                  <w:rPr>
                                    <w:rFonts w:ascii="Times New Roman" w:hAnsi="Times New Roman"/>
                                    <w:b/>
                                    <w:sz w:val="17"/>
                                    <w:szCs w:val="17"/>
                                    <w:lang w:val="en-US" w:eastAsia="en-US"/>
                                  </w:rPr>
                                  <w:t>AGO</w:t>
                                </w:r>
                                <w:r w:rsidR="00461411">
                                  <w:rPr>
                                    <w:rFonts w:ascii="Times New Roman" w:hAnsi="Times New Roman"/>
                                    <w:b/>
                                    <w:sz w:val="17"/>
                                    <w:szCs w:val="17"/>
                                    <w:lang w:val="en-US" w:eastAsia="en-US"/>
                                  </w:rPr>
                                  <w:t>/</w:t>
                                </w:r>
                                <w:r w:rsidR="00974AA7">
                                  <w:rPr>
                                    <w:rFonts w:ascii="Times New Roman" w:hAnsi="Times New Roman"/>
                                    <w:b/>
                                    <w:sz w:val="17"/>
                                    <w:szCs w:val="17"/>
                                    <w:lang w:val="en-US" w:eastAsia="en-US"/>
                                  </w:rPr>
                                  <w:t>5</w:t>
                                </w:r>
                              </w:p>
                            </w:tc>
                            <w:tc>
                              <w:tcPr>
                                <w:tcW w:w="8276" w:type="dxa"/>
                                <w:tcBorders>
                                  <w:bottom w:val="single" w:sz="4" w:space="0" w:color="auto"/>
                                </w:tcBorders>
                                <w:vAlign w:val="bottom"/>
                              </w:tcPr>
                              <w:p w14:paraId="2440D570" w14:textId="77777777" w:rsidR="003D3682" w:rsidRPr="007C6F85" w:rsidRDefault="003D3682">
                                <w:pPr>
                                  <w:pStyle w:val="Header"/>
                                  <w:rPr>
                                    <w:rFonts w:ascii="Times New Roman" w:hAnsi="Times New Roman"/>
                                    <w:sz w:val="17"/>
                                    <w:szCs w:val="17"/>
                                    <w:lang w:val="en-US" w:eastAsia="en-US"/>
                                  </w:rPr>
                                </w:pPr>
                              </w:p>
                            </w:tc>
                          </w:tr>
                        </w:tbl>
                        <w:p w14:paraId="2440D572" w14:textId="77777777" w:rsidR="003D3682" w:rsidRDefault="003D368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EA02003" id="_x0000_t202" coordsize="21600,21600" o:spt="202" path="m,l,21600r21600,l21600,xe">
              <v:stroke joinstyle="miter"/>
              <v:path gradientshapeok="t" o:connecttype="rect"/>
            </v:shapetype>
            <v:shape id="Text Box 1" o:spid="_x0000_s1026" type="#_x0000_t202" style="position:absolute;margin-left:0;margin-top:-24pt;width:649pt;height:50.4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&#13;&#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3D3682" w:rsidRPr="005841A3" w14:paraId="2440D571" w14:textId="77777777">
                      <w:trPr>
                        <w:trHeight w:hRule="exact" w:val="864"/>
                      </w:trPr>
                      <w:tc>
                        <w:tcPr>
                          <w:tcW w:w="4838" w:type="dxa"/>
                          <w:tcBorders>
                            <w:bottom w:val="single" w:sz="4" w:space="0" w:color="auto"/>
                          </w:tcBorders>
                          <w:vAlign w:val="bottom"/>
                        </w:tcPr>
                        <w:p w14:paraId="2440D56F" w14:textId="1B2B5167" w:rsidR="003D3682" w:rsidRPr="007C6F85" w:rsidRDefault="003D3682"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sidR="00974AA7">
                            <w:rPr>
                              <w:rFonts w:ascii="Times New Roman" w:hAnsi="Times New Roman"/>
                              <w:b/>
                              <w:sz w:val="17"/>
                              <w:szCs w:val="17"/>
                              <w:lang w:val="en-US" w:eastAsia="en-US"/>
                            </w:rPr>
                            <w:t>AGO</w:t>
                          </w:r>
                          <w:r w:rsidR="00461411">
                            <w:rPr>
                              <w:rFonts w:ascii="Times New Roman" w:hAnsi="Times New Roman"/>
                              <w:b/>
                              <w:sz w:val="17"/>
                              <w:szCs w:val="17"/>
                              <w:lang w:val="en-US" w:eastAsia="en-US"/>
                            </w:rPr>
                            <w:t>/</w:t>
                          </w:r>
                          <w:r w:rsidR="00974AA7">
                            <w:rPr>
                              <w:rFonts w:ascii="Times New Roman" w:hAnsi="Times New Roman"/>
                              <w:b/>
                              <w:sz w:val="17"/>
                              <w:szCs w:val="17"/>
                              <w:lang w:val="en-US" w:eastAsia="en-US"/>
                            </w:rPr>
                            <w:t>5</w:t>
                          </w:r>
                        </w:p>
                      </w:tc>
                      <w:tc>
                        <w:tcPr>
                          <w:tcW w:w="8276" w:type="dxa"/>
                          <w:tcBorders>
                            <w:bottom w:val="single" w:sz="4" w:space="0" w:color="auto"/>
                          </w:tcBorders>
                          <w:vAlign w:val="bottom"/>
                        </w:tcPr>
                        <w:p w14:paraId="2440D570" w14:textId="77777777" w:rsidR="003D3682" w:rsidRPr="007C6F85" w:rsidRDefault="003D3682">
                          <w:pPr>
                            <w:pStyle w:val="Header"/>
                            <w:rPr>
                              <w:rFonts w:ascii="Times New Roman" w:hAnsi="Times New Roman"/>
                              <w:sz w:val="17"/>
                              <w:szCs w:val="17"/>
                              <w:lang w:val="en-US" w:eastAsia="en-US"/>
                            </w:rPr>
                          </w:pPr>
                        </w:p>
                      </w:tc>
                    </w:tr>
                  </w:tbl>
                  <w:p w14:paraId="2440D572" w14:textId="77777777" w:rsidR="003D3682" w:rsidRDefault="003D3682"/>
                </w:txbxContent>
              </v:textbox>
              <w10:wrap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50" w:type="dxa"/>
      <w:tblBorders>
        <w:bottom w:val="single" w:sz="2" w:space="0" w:color="000000"/>
      </w:tblBorders>
      <w:tblLayout w:type="fixed"/>
      <w:tblCellMar>
        <w:left w:w="0" w:type="dxa"/>
        <w:right w:w="0" w:type="dxa"/>
      </w:tblCellMar>
      <w:tblLook w:val="0000" w:firstRow="0" w:lastRow="0" w:firstColumn="0" w:lastColumn="0" w:noHBand="0" w:noVBand="0"/>
    </w:tblPr>
    <w:tblGrid>
      <w:gridCol w:w="4668"/>
      <w:gridCol w:w="8382"/>
    </w:tblGrid>
    <w:tr w:rsidR="00CE2A86" w:rsidRPr="00657A41" w14:paraId="0755F833" w14:textId="77777777" w:rsidTr="00E022B9">
      <w:trPr>
        <w:trHeight w:hRule="exact" w:val="864"/>
      </w:trPr>
      <w:tc>
        <w:tcPr>
          <w:tcW w:w="4668" w:type="dxa"/>
          <w:shd w:val="clear" w:color="auto" w:fill="auto"/>
          <w:vAlign w:val="bottom"/>
        </w:tcPr>
        <w:p w14:paraId="74A7251A" w14:textId="77777777" w:rsidR="00CE2A86" w:rsidRPr="00657A41" w:rsidRDefault="00CE2A86" w:rsidP="00BC69D9">
          <w:pPr>
            <w:tabs>
              <w:tab w:val="center" w:pos="4320"/>
              <w:tab w:val="right" w:pos="8640"/>
            </w:tabs>
            <w:spacing w:after="80"/>
            <w:rPr>
              <w:b/>
              <w:noProof/>
              <w:sz w:val="17"/>
            </w:rPr>
          </w:pPr>
        </w:p>
      </w:tc>
      <w:tc>
        <w:tcPr>
          <w:tcW w:w="8382" w:type="dxa"/>
          <w:shd w:val="clear" w:color="auto" w:fill="auto"/>
          <w:vAlign w:val="bottom"/>
        </w:tcPr>
        <w:p w14:paraId="4B473F58" w14:textId="2F6B94A3" w:rsidR="00CE2A86" w:rsidRPr="00657A41" w:rsidRDefault="00CE2A86" w:rsidP="00BC69D9">
          <w:pPr>
            <w:tabs>
              <w:tab w:val="center" w:pos="4320"/>
              <w:tab w:val="right" w:pos="8640"/>
            </w:tabs>
            <w:jc w:val="right"/>
            <w:rPr>
              <w:b/>
              <w:noProof/>
              <w:sz w:val="17"/>
            </w:rPr>
          </w:pPr>
          <w:r w:rsidRPr="00657A41">
            <w:rPr>
              <w:b/>
              <w:noProof/>
              <w:sz w:val="17"/>
            </w:rPr>
            <w:t>DP/DCP/</w:t>
          </w:r>
          <w:r w:rsidR="00974AA7">
            <w:rPr>
              <w:b/>
              <w:noProof/>
              <w:sz w:val="17"/>
            </w:rPr>
            <w:t>AGO/5</w:t>
          </w:r>
        </w:p>
      </w:tc>
    </w:tr>
  </w:tbl>
  <w:p w14:paraId="081F7F38" w14:textId="77777777" w:rsidR="00CE2A86" w:rsidRPr="00BC69D9" w:rsidRDefault="00CE2A86">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3D3"/>
    <w:multiLevelType w:val="hybridMultilevel"/>
    <w:tmpl w:val="C80AE2B6"/>
    <w:lvl w:ilvl="0" w:tplc="0016ADC0">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0F">
      <w:start w:val="1"/>
      <w:numFmt w:val="decimal"/>
      <w:lvlText w:val="%3."/>
      <w:lvlJc w:val="left"/>
      <w:pPr>
        <w:ind w:left="2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1850"/>
        </w:tabs>
        <w:ind w:left="185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0627CB3"/>
    <w:multiLevelType w:val="hybridMultilevel"/>
    <w:tmpl w:val="A404D00E"/>
    <w:lvl w:ilvl="0" w:tplc="FFFFFFFF">
      <w:start w:val="1"/>
      <w:numFmt w:val="decimal"/>
      <w:lvlText w:val="%1."/>
      <w:lvlJc w:val="left"/>
      <w:pPr>
        <w:ind w:left="720" w:hanging="360"/>
      </w:pPr>
      <w:rPr>
        <w:rFonts w:ascii="Times New Roman" w:hAnsi="Times New Roman" w:cs="Times New Roman" w:hint="default"/>
        <w:b w:val="0"/>
        <w:bCs w:val="0"/>
        <w:color w:val="auto"/>
      </w:rPr>
    </w:lvl>
    <w:lvl w:ilvl="1" w:tplc="FFFFFFFF">
      <w:start w:val="1"/>
      <w:numFmt w:val="lowerLetter"/>
      <w:lvlText w:val="%2."/>
      <w:lvlJc w:val="left"/>
      <w:pPr>
        <w:ind w:left="1440" w:hanging="360"/>
      </w:pPr>
    </w:lvl>
    <w:lvl w:ilvl="2" w:tplc="FFFFFFFF">
      <w:start w:val="1"/>
      <w:numFmt w:val="decimal"/>
      <w:lvlText w:val="%3."/>
      <w:lvlJc w:val="left"/>
      <w:pPr>
        <w:ind w:left="27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20E7A4F"/>
    <w:multiLevelType w:val="hybridMultilevel"/>
    <w:tmpl w:val="80665A54"/>
    <w:lvl w:ilvl="0" w:tplc="1A9E85CC">
      <w:start w:val="1"/>
      <w:numFmt w:val="upperRoman"/>
      <w:lvlText w:val="%1."/>
      <w:lvlJc w:val="left"/>
      <w:pPr>
        <w:ind w:left="1620" w:hanging="720"/>
      </w:pPr>
      <w:rPr>
        <w:rFonts w:hint="default"/>
        <w:b/>
        <w:color w:val="00000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776291250">
    <w:abstractNumId w:val="0"/>
  </w:num>
  <w:num w:numId="2" w16cid:durableId="1366522211">
    <w:abstractNumId w:val="2"/>
  </w:num>
  <w:num w:numId="3" w16cid:durableId="1756514684">
    <w:abstractNumId w:val="3"/>
  </w:num>
  <w:num w:numId="4" w16cid:durableId="33904850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3B"/>
    <w:rsid w:val="000010B5"/>
    <w:rsid w:val="0000185A"/>
    <w:rsid w:val="000027D2"/>
    <w:rsid w:val="0000312F"/>
    <w:rsid w:val="00003B30"/>
    <w:rsid w:val="00003E8B"/>
    <w:rsid w:val="00005E26"/>
    <w:rsid w:val="00006E59"/>
    <w:rsid w:val="00012E88"/>
    <w:rsid w:val="0001309E"/>
    <w:rsid w:val="00013410"/>
    <w:rsid w:val="00013BF7"/>
    <w:rsid w:val="00013F42"/>
    <w:rsid w:val="000153EB"/>
    <w:rsid w:val="00015875"/>
    <w:rsid w:val="00015FDE"/>
    <w:rsid w:val="00016217"/>
    <w:rsid w:val="00016861"/>
    <w:rsid w:val="00017D05"/>
    <w:rsid w:val="000200CF"/>
    <w:rsid w:val="000205F1"/>
    <w:rsid w:val="00022047"/>
    <w:rsid w:val="00023A8F"/>
    <w:rsid w:val="00023AEE"/>
    <w:rsid w:val="000274B9"/>
    <w:rsid w:val="0002758B"/>
    <w:rsid w:val="000276A0"/>
    <w:rsid w:val="00031B92"/>
    <w:rsid w:val="00031E57"/>
    <w:rsid w:val="0003257C"/>
    <w:rsid w:val="000330DB"/>
    <w:rsid w:val="0003429F"/>
    <w:rsid w:val="00034740"/>
    <w:rsid w:val="0003562A"/>
    <w:rsid w:val="00036095"/>
    <w:rsid w:val="000367E0"/>
    <w:rsid w:val="00036AF4"/>
    <w:rsid w:val="000372D6"/>
    <w:rsid w:val="00041C10"/>
    <w:rsid w:val="0004202A"/>
    <w:rsid w:val="0004265D"/>
    <w:rsid w:val="00043804"/>
    <w:rsid w:val="000441A1"/>
    <w:rsid w:val="00044448"/>
    <w:rsid w:val="000449B5"/>
    <w:rsid w:val="00044F51"/>
    <w:rsid w:val="00050869"/>
    <w:rsid w:val="00051E3C"/>
    <w:rsid w:val="0005413B"/>
    <w:rsid w:val="00055596"/>
    <w:rsid w:val="00056014"/>
    <w:rsid w:val="000561C1"/>
    <w:rsid w:val="00056204"/>
    <w:rsid w:val="00056D08"/>
    <w:rsid w:val="000570D1"/>
    <w:rsid w:val="000571A9"/>
    <w:rsid w:val="00060243"/>
    <w:rsid w:val="00060290"/>
    <w:rsid w:val="000611AB"/>
    <w:rsid w:val="000635E5"/>
    <w:rsid w:val="00063E24"/>
    <w:rsid w:val="00064D64"/>
    <w:rsid w:val="000651E8"/>
    <w:rsid w:val="000652EB"/>
    <w:rsid w:val="000657A1"/>
    <w:rsid w:val="00067466"/>
    <w:rsid w:val="00072229"/>
    <w:rsid w:val="000728F8"/>
    <w:rsid w:val="00073CF1"/>
    <w:rsid w:val="00074BD0"/>
    <w:rsid w:val="00074D9A"/>
    <w:rsid w:val="00074DB9"/>
    <w:rsid w:val="000753C4"/>
    <w:rsid w:val="00075DF0"/>
    <w:rsid w:val="000762CA"/>
    <w:rsid w:val="000800C0"/>
    <w:rsid w:val="000803A4"/>
    <w:rsid w:val="000805AE"/>
    <w:rsid w:val="000806E3"/>
    <w:rsid w:val="00080805"/>
    <w:rsid w:val="00081604"/>
    <w:rsid w:val="00081E9F"/>
    <w:rsid w:val="0008339E"/>
    <w:rsid w:val="000905D9"/>
    <w:rsid w:val="00090AD1"/>
    <w:rsid w:val="00090F4F"/>
    <w:rsid w:val="0009132A"/>
    <w:rsid w:val="00091476"/>
    <w:rsid w:val="00091984"/>
    <w:rsid w:val="00092879"/>
    <w:rsid w:val="00094E87"/>
    <w:rsid w:val="00095ACB"/>
    <w:rsid w:val="00097B45"/>
    <w:rsid w:val="00097FB2"/>
    <w:rsid w:val="000A0A05"/>
    <w:rsid w:val="000A151D"/>
    <w:rsid w:val="000A1CA0"/>
    <w:rsid w:val="000A24C5"/>
    <w:rsid w:val="000A2967"/>
    <w:rsid w:val="000A2ABD"/>
    <w:rsid w:val="000A30A1"/>
    <w:rsid w:val="000A3683"/>
    <w:rsid w:val="000A3A38"/>
    <w:rsid w:val="000A3F7F"/>
    <w:rsid w:val="000A47FD"/>
    <w:rsid w:val="000A5DFF"/>
    <w:rsid w:val="000A7192"/>
    <w:rsid w:val="000B0228"/>
    <w:rsid w:val="000B083D"/>
    <w:rsid w:val="000B2E16"/>
    <w:rsid w:val="000B3A13"/>
    <w:rsid w:val="000B427E"/>
    <w:rsid w:val="000B4BB2"/>
    <w:rsid w:val="000B6379"/>
    <w:rsid w:val="000B739B"/>
    <w:rsid w:val="000C1E8D"/>
    <w:rsid w:val="000C3CC4"/>
    <w:rsid w:val="000C4E54"/>
    <w:rsid w:val="000C58E0"/>
    <w:rsid w:val="000C76B0"/>
    <w:rsid w:val="000C7BBE"/>
    <w:rsid w:val="000D0A55"/>
    <w:rsid w:val="000D2475"/>
    <w:rsid w:val="000D442C"/>
    <w:rsid w:val="000D4DC4"/>
    <w:rsid w:val="000D7680"/>
    <w:rsid w:val="000E204A"/>
    <w:rsid w:val="000E55D6"/>
    <w:rsid w:val="000E5DE5"/>
    <w:rsid w:val="000E612D"/>
    <w:rsid w:val="000E6AB1"/>
    <w:rsid w:val="000E6CED"/>
    <w:rsid w:val="000E737D"/>
    <w:rsid w:val="000E745A"/>
    <w:rsid w:val="000E7E9E"/>
    <w:rsid w:val="000F0044"/>
    <w:rsid w:val="000F093A"/>
    <w:rsid w:val="000F0EFD"/>
    <w:rsid w:val="000F5541"/>
    <w:rsid w:val="000F703B"/>
    <w:rsid w:val="000F72ED"/>
    <w:rsid w:val="000F7A4C"/>
    <w:rsid w:val="001005A8"/>
    <w:rsid w:val="00103698"/>
    <w:rsid w:val="00103EA9"/>
    <w:rsid w:val="00106EF8"/>
    <w:rsid w:val="001079BC"/>
    <w:rsid w:val="001079CD"/>
    <w:rsid w:val="001101A2"/>
    <w:rsid w:val="00110B74"/>
    <w:rsid w:val="00111489"/>
    <w:rsid w:val="00111792"/>
    <w:rsid w:val="00111797"/>
    <w:rsid w:val="00111B19"/>
    <w:rsid w:val="00114A64"/>
    <w:rsid w:val="00115F59"/>
    <w:rsid w:val="00116C1A"/>
    <w:rsid w:val="00120A5D"/>
    <w:rsid w:val="00121554"/>
    <w:rsid w:val="00121F3E"/>
    <w:rsid w:val="0012229E"/>
    <w:rsid w:val="00123849"/>
    <w:rsid w:val="00123A5E"/>
    <w:rsid w:val="00125010"/>
    <w:rsid w:val="001251C8"/>
    <w:rsid w:val="00125266"/>
    <w:rsid w:val="00125B82"/>
    <w:rsid w:val="001305E6"/>
    <w:rsid w:val="001315CD"/>
    <w:rsid w:val="00131C8D"/>
    <w:rsid w:val="0013239A"/>
    <w:rsid w:val="00132AC0"/>
    <w:rsid w:val="00132D93"/>
    <w:rsid w:val="001334D3"/>
    <w:rsid w:val="00135E6E"/>
    <w:rsid w:val="00136ABC"/>
    <w:rsid w:val="0013761A"/>
    <w:rsid w:val="001379F1"/>
    <w:rsid w:val="00140CA8"/>
    <w:rsid w:val="00141DBD"/>
    <w:rsid w:val="0014350A"/>
    <w:rsid w:val="0014423A"/>
    <w:rsid w:val="00145400"/>
    <w:rsid w:val="00145CB0"/>
    <w:rsid w:val="00147042"/>
    <w:rsid w:val="001471A7"/>
    <w:rsid w:val="001506F6"/>
    <w:rsid w:val="001508E6"/>
    <w:rsid w:val="00154032"/>
    <w:rsid w:val="001547D3"/>
    <w:rsid w:val="0015573A"/>
    <w:rsid w:val="001557A9"/>
    <w:rsid w:val="001557F6"/>
    <w:rsid w:val="001559BD"/>
    <w:rsid w:val="00157F09"/>
    <w:rsid w:val="00157F79"/>
    <w:rsid w:val="00163240"/>
    <w:rsid w:val="00163E84"/>
    <w:rsid w:val="00165A12"/>
    <w:rsid w:val="001668AA"/>
    <w:rsid w:val="001675B1"/>
    <w:rsid w:val="0016789D"/>
    <w:rsid w:val="00167C87"/>
    <w:rsid w:val="00171F01"/>
    <w:rsid w:val="0017218A"/>
    <w:rsid w:val="00172EE3"/>
    <w:rsid w:val="0017349A"/>
    <w:rsid w:val="00174F19"/>
    <w:rsid w:val="00175746"/>
    <w:rsid w:val="00177804"/>
    <w:rsid w:val="00177E7E"/>
    <w:rsid w:val="00180BB5"/>
    <w:rsid w:val="00181544"/>
    <w:rsid w:val="0018356F"/>
    <w:rsid w:val="001845F1"/>
    <w:rsid w:val="0018476B"/>
    <w:rsid w:val="00184CBF"/>
    <w:rsid w:val="001874A7"/>
    <w:rsid w:val="001876C5"/>
    <w:rsid w:val="00187BA9"/>
    <w:rsid w:val="00187D68"/>
    <w:rsid w:val="00190155"/>
    <w:rsid w:val="001906B5"/>
    <w:rsid w:val="001913A7"/>
    <w:rsid w:val="00192198"/>
    <w:rsid w:val="00194163"/>
    <w:rsid w:val="00194359"/>
    <w:rsid w:val="00194881"/>
    <w:rsid w:val="00194FEB"/>
    <w:rsid w:val="001970A4"/>
    <w:rsid w:val="00197AD1"/>
    <w:rsid w:val="001A17DA"/>
    <w:rsid w:val="001A24AE"/>
    <w:rsid w:val="001A31ED"/>
    <w:rsid w:val="001B0020"/>
    <w:rsid w:val="001B3F87"/>
    <w:rsid w:val="001B3FAF"/>
    <w:rsid w:val="001B4026"/>
    <w:rsid w:val="001B56AD"/>
    <w:rsid w:val="001B598C"/>
    <w:rsid w:val="001B6419"/>
    <w:rsid w:val="001B6A8B"/>
    <w:rsid w:val="001B6E76"/>
    <w:rsid w:val="001B76A6"/>
    <w:rsid w:val="001C07F8"/>
    <w:rsid w:val="001C1147"/>
    <w:rsid w:val="001C1BBD"/>
    <w:rsid w:val="001C2D7D"/>
    <w:rsid w:val="001C2F59"/>
    <w:rsid w:val="001C6C08"/>
    <w:rsid w:val="001D0646"/>
    <w:rsid w:val="001D089D"/>
    <w:rsid w:val="001D1B55"/>
    <w:rsid w:val="001D2056"/>
    <w:rsid w:val="001D220F"/>
    <w:rsid w:val="001D42D1"/>
    <w:rsid w:val="001D547F"/>
    <w:rsid w:val="001D5B71"/>
    <w:rsid w:val="001D5D49"/>
    <w:rsid w:val="001D5F99"/>
    <w:rsid w:val="001D64E5"/>
    <w:rsid w:val="001D6634"/>
    <w:rsid w:val="001D6EB8"/>
    <w:rsid w:val="001E05EC"/>
    <w:rsid w:val="001E2165"/>
    <w:rsid w:val="001E25E9"/>
    <w:rsid w:val="001E2D18"/>
    <w:rsid w:val="001E4028"/>
    <w:rsid w:val="001E4809"/>
    <w:rsid w:val="001E4F4F"/>
    <w:rsid w:val="001E5847"/>
    <w:rsid w:val="001F27F4"/>
    <w:rsid w:val="001F3DBB"/>
    <w:rsid w:val="001F3DC0"/>
    <w:rsid w:val="001F4871"/>
    <w:rsid w:val="001F4C5A"/>
    <w:rsid w:val="001F4EA9"/>
    <w:rsid w:val="001F4F73"/>
    <w:rsid w:val="001F6425"/>
    <w:rsid w:val="001F6772"/>
    <w:rsid w:val="001F7421"/>
    <w:rsid w:val="00200195"/>
    <w:rsid w:val="00200B5F"/>
    <w:rsid w:val="00201EEF"/>
    <w:rsid w:val="00202476"/>
    <w:rsid w:val="00202B58"/>
    <w:rsid w:val="002032DC"/>
    <w:rsid w:val="002047C8"/>
    <w:rsid w:val="00204C62"/>
    <w:rsid w:val="002052B3"/>
    <w:rsid w:val="00205453"/>
    <w:rsid w:val="002058F9"/>
    <w:rsid w:val="0020650A"/>
    <w:rsid w:val="0020799B"/>
    <w:rsid w:val="00207F32"/>
    <w:rsid w:val="00212B1F"/>
    <w:rsid w:val="00213340"/>
    <w:rsid w:val="00213D7C"/>
    <w:rsid w:val="00214513"/>
    <w:rsid w:val="00214DA9"/>
    <w:rsid w:val="00214EC6"/>
    <w:rsid w:val="002155B7"/>
    <w:rsid w:val="002156BB"/>
    <w:rsid w:val="0021766A"/>
    <w:rsid w:val="00220C88"/>
    <w:rsid w:val="002225D3"/>
    <w:rsid w:val="00222A35"/>
    <w:rsid w:val="0022301D"/>
    <w:rsid w:val="002236F0"/>
    <w:rsid w:val="00223F49"/>
    <w:rsid w:val="00224B2C"/>
    <w:rsid w:val="00226052"/>
    <w:rsid w:val="00226E3A"/>
    <w:rsid w:val="00226F3A"/>
    <w:rsid w:val="002272E2"/>
    <w:rsid w:val="00227E55"/>
    <w:rsid w:val="00232AA0"/>
    <w:rsid w:val="00232C75"/>
    <w:rsid w:val="00234CDF"/>
    <w:rsid w:val="00236B91"/>
    <w:rsid w:val="00236BF6"/>
    <w:rsid w:val="002413D3"/>
    <w:rsid w:val="00241D6B"/>
    <w:rsid w:val="002424C0"/>
    <w:rsid w:val="00242617"/>
    <w:rsid w:val="00242CAA"/>
    <w:rsid w:val="0024503B"/>
    <w:rsid w:val="0024573D"/>
    <w:rsid w:val="00245D74"/>
    <w:rsid w:val="00246D03"/>
    <w:rsid w:val="00246DDF"/>
    <w:rsid w:val="002470FF"/>
    <w:rsid w:val="00247854"/>
    <w:rsid w:val="00254256"/>
    <w:rsid w:val="002573CC"/>
    <w:rsid w:val="00260FAA"/>
    <w:rsid w:val="00262338"/>
    <w:rsid w:val="00263694"/>
    <w:rsid w:val="00263938"/>
    <w:rsid w:val="002646D7"/>
    <w:rsid w:val="00264990"/>
    <w:rsid w:val="00264CC3"/>
    <w:rsid w:val="0026538D"/>
    <w:rsid w:val="0026700F"/>
    <w:rsid w:val="002671D7"/>
    <w:rsid w:val="00267F41"/>
    <w:rsid w:val="0027259C"/>
    <w:rsid w:val="0027268F"/>
    <w:rsid w:val="00273122"/>
    <w:rsid w:val="00273543"/>
    <w:rsid w:val="00274C82"/>
    <w:rsid w:val="0027654D"/>
    <w:rsid w:val="00276B00"/>
    <w:rsid w:val="00277E29"/>
    <w:rsid w:val="002810DF"/>
    <w:rsid w:val="002812AB"/>
    <w:rsid w:val="002816D8"/>
    <w:rsid w:val="00281F8F"/>
    <w:rsid w:val="00282A8C"/>
    <w:rsid w:val="002854EE"/>
    <w:rsid w:val="0028565C"/>
    <w:rsid w:val="00286891"/>
    <w:rsid w:val="002875DE"/>
    <w:rsid w:val="00287914"/>
    <w:rsid w:val="00287E07"/>
    <w:rsid w:val="00290EB3"/>
    <w:rsid w:val="00292846"/>
    <w:rsid w:val="00292A90"/>
    <w:rsid w:val="0029458F"/>
    <w:rsid w:val="00294E89"/>
    <w:rsid w:val="002971D6"/>
    <w:rsid w:val="002A256A"/>
    <w:rsid w:val="002A26D9"/>
    <w:rsid w:val="002A2F08"/>
    <w:rsid w:val="002A3641"/>
    <w:rsid w:val="002A495F"/>
    <w:rsid w:val="002A4CE1"/>
    <w:rsid w:val="002A58D1"/>
    <w:rsid w:val="002A706F"/>
    <w:rsid w:val="002A70EA"/>
    <w:rsid w:val="002A7363"/>
    <w:rsid w:val="002A7F43"/>
    <w:rsid w:val="002B365E"/>
    <w:rsid w:val="002B3769"/>
    <w:rsid w:val="002B3E6C"/>
    <w:rsid w:val="002B489A"/>
    <w:rsid w:val="002B6341"/>
    <w:rsid w:val="002C031A"/>
    <w:rsid w:val="002C03C6"/>
    <w:rsid w:val="002C0526"/>
    <w:rsid w:val="002C27A8"/>
    <w:rsid w:val="002C333E"/>
    <w:rsid w:val="002C36C8"/>
    <w:rsid w:val="002C42E9"/>
    <w:rsid w:val="002C51A0"/>
    <w:rsid w:val="002C57E0"/>
    <w:rsid w:val="002C5C71"/>
    <w:rsid w:val="002C641D"/>
    <w:rsid w:val="002C78BA"/>
    <w:rsid w:val="002C7971"/>
    <w:rsid w:val="002D0584"/>
    <w:rsid w:val="002D11D4"/>
    <w:rsid w:val="002D2A07"/>
    <w:rsid w:val="002D2E2A"/>
    <w:rsid w:val="002D4274"/>
    <w:rsid w:val="002D4F19"/>
    <w:rsid w:val="002D5295"/>
    <w:rsid w:val="002D52BF"/>
    <w:rsid w:val="002D62B1"/>
    <w:rsid w:val="002D6630"/>
    <w:rsid w:val="002D68FA"/>
    <w:rsid w:val="002D79CC"/>
    <w:rsid w:val="002D7ECA"/>
    <w:rsid w:val="002E0141"/>
    <w:rsid w:val="002E0B5D"/>
    <w:rsid w:val="002E0B76"/>
    <w:rsid w:val="002E1495"/>
    <w:rsid w:val="002E1905"/>
    <w:rsid w:val="002E2466"/>
    <w:rsid w:val="002E2900"/>
    <w:rsid w:val="002E3C0D"/>
    <w:rsid w:val="002E43EC"/>
    <w:rsid w:val="002E4883"/>
    <w:rsid w:val="002E5B3C"/>
    <w:rsid w:val="002E7A79"/>
    <w:rsid w:val="002E7AF1"/>
    <w:rsid w:val="002F0758"/>
    <w:rsid w:val="002F1D9E"/>
    <w:rsid w:val="002F2C6E"/>
    <w:rsid w:val="002F38EC"/>
    <w:rsid w:val="002F3C88"/>
    <w:rsid w:val="002F4067"/>
    <w:rsid w:val="002F47EB"/>
    <w:rsid w:val="002F71E8"/>
    <w:rsid w:val="002F7339"/>
    <w:rsid w:val="002F7461"/>
    <w:rsid w:val="002F7C9C"/>
    <w:rsid w:val="003025E2"/>
    <w:rsid w:val="00303CB0"/>
    <w:rsid w:val="00304430"/>
    <w:rsid w:val="00306D24"/>
    <w:rsid w:val="00307712"/>
    <w:rsid w:val="00307B8C"/>
    <w:rsid w:val="0031404A"/>
    <w:rsid w:val="003143A4"/>
    <w:rsid w:val="00314B7C"/>
    <w:rsid w:val="00314E49"/>
    <w:rsid w:val="00315445"/>
    <w:rsid w:val="00317183"/>
    <w:rsid w:val="003204AE"/>
    <w:rsid w:val="003208EF"/>
    <w:rsid w:val="00321213"/>
    <w:rsid w:val="00323747"/>
    <w:rsid w:val="00323D35"/>
    <w:rsid w:val="00324846"/>
    <w:rsid w:val="00324ABD"/>
    <w:rsid w:val="00324D9B"/>
    <w:rsid w:val="003272A6"/>
    <w:rsid w:val="003273CB"/>
    <w:rsid w:val="0033125E"/>
    <w:rsid w:val="003323CE"/>
    <w:rsid w:val="00332ED2"/>
    <w:rsid w:val="0033325E"/>
    <w:rsid w:val="00335C99"/>
    <w:rsid w:val="00336913"/>
    <w:rsid w:val="0033718C"/>
    <w:rsid w:val="00337407"/>
    <w:rsid w:val="00337BB8"/>
    <w:rsid w:val="00340A68"/>
    <w:rsid w:val="00340E02"/>
    <w:rsid w:val="00341EC6"/>
    <w:rsid w:val="00341F33"/>
    <w:rsid w:val="00342E94"/>
    <w:rsid w:val="00343E6E"/>
    <w:rsid w:val="00343E9A"/>
    <w:rsid w:val="00344F07"/>
    <w:rsid w:val="003450C8"/>
    <w:rsid w:val="00345BA7"/>
    <w:rsid w:val="0034647A"/>
    <w:rsid w:val="0034782B"/>
    <w:rsid w:val="00351E5C"/>
    <w:rsid w:val="00351F5A"/>
    <w:rsid w:val="003538F7"/>
    <w:rsid w:val="003555EE"/>
    <w:rsid w:val="0035580F"/>
    <w:rsid w:val="00357B24"/>
    <w:rsid w:val="00357CB4"/>
    <w:rsid w:val="003604EE"/>
    <w:rsid w:val="0036139C"/>
    <w:rsid w:val="00361842"/>
    <w:rsid w:val="00361CEE"/>
    <w:rsid w:val="0036286B"/>
    <w:rsid w:val="00362E12"/>
    <w:rsid w:val="00363371"/>
    <w:rsid w:val="00364989"/>
    <w:rsid w:val="0036601B"/>
    <w:rsid w:val="003664C0"/>
    <w:rsid w:val="00366769"/>
    <w:rsid w:val="00367A28"/>
    <w:rsid w:val="00367E04"/>
    <w:rsid w:val="00370210"/>
    <w:rsid w:val="00370F9A"/>
    <w:rsid w:val="00375B64"/>
    <w:rsid w:val="00375ED2"/>
    <w:rsid w:val="003761F2"/>
    <w:rsid w:val="00376A05"/>
    <w:rsid w:val="003774FE"/>
    <w:rsid w:val="00377DA4"/>
    <w:rsid w:val="003815EB"/>
    <w:rsid w:val="0038525F"/>
    <w:rsid w:val="00390E30"/>
    <w:rsid w:val="00392823"/>
    <w:rsid w:val="003938AC"/>
    <w:rsid w:val="00393ABE"/>
    <w:rsid w:val="00393DCA"/>
    <w:rsid w:val="00393EB3"/>
    <w:rsid w:val="0039458D"/>
    <w:rsid w:val="00394D61"/>
    <w:rsid w:val="00395201"/>
    <w:rsid w:val="00395B45"/>
    <w:rsid w:val="00395B84"/>
    <w:rsid w:val="00395BDC"/>
    <w:rsid w:val="0039607A"/>
    <w:rsid w:val="003967E5"/>
    <w:rsid w:val="003A05FC"/>
    <w:rsid w:val="003A1F5A"/>
    <w:rsid w:val="003A20C4"/>
    <w:rsid w:val="003A2ECE"/>
    <w:rsid w:val="003A3606"/>
    <w:rsid w:val="003A4252"/>
    <w:rsid w:val="003A42A7"/>
    <w:rsid w:val="003A539A"/>
    <w:rsid w:val="003A62A4"/>
    <w:rsid w:val="003A7476"/>
    <w:rsid w:val="003A7D82"/>
    <w:rsid w:val="003A7D86"/>
    <w:rsid w:val="003B0AA1"/>
    <w:rsid w:val="003B243D"/>
    <w:rsid w:val="003B271D"/>
    <w:rsid w:val="003B304F"/>
    <w:rsid w:val="003B40C5"/>
    <w:rsid w:val="003B5D18"/>
    <w:rsid w:val="003B6928"/>
    <w:rsid w:val="003B795D"/>
    <w:rsid w:val="003C26A6"/>
    <w:rsid w:val="003C26C1"/>
    <w:rsid w:val="003C4E83"/>
    <w:rsid w:val="003C5C11"/>
    <w:rsid w:val="003C6A5A"/>
    <w:rsid w:val="003C6AAD"/>
    <w:rsid w:val="003C76E4"/>
    <w:rsid w:val="003D1D4D"/>
    <w:rsid w:val="003D2D68"/>
    <w:rsid w:val="003D3682"/>
    <w:rsid w:val="003D37DD"/>
    <w:rsid w:val="003D45DF"/>
    <w:rsid w:val="003D47C6"/>
    <w:rsid w:val="003D4ED8"/>
    <w:rsid w:val="003D7E38"/>
    <w:rsid w:val="003D7EAC"/>
    <w:rsid w:val="003E0A71"/>
    <w:rsid w:val="003E1AFA"/>
    <w:rsid w:val="003E2D1D"/>
    <w:rsid w:val="003E375F"/>
    <w:rsid w:val="003E379A"/>
    <w:rsid w:val="003E52B0"/>
    <w:rsid w:val="003E64DC"/>
    <w:rsid w:val="003E7A43"/>
    <w:rsid w:val="003F0B58"/>
    <w:rsid w:val="003F0D40"/>
    <w:rsid w:val="003F0EFA"/>
    <w:rsid w:val="003F2236"/>
    <w:rsid w:val="003F27B7"/>
    <w:rsid w:val="003F39B2"/>
    <w:rsid w:val="003F4051"/>
    <w:rsid w:val="003F5812"/>
    <w:rsid w:val="003F625A"/>
    <w:rsid w:val="003F6AA4"/>
    <w:rsid w:val="003F6EA1"/>
    <w:rsid w:val="00400E4A"/>
    <w:rsid w:val="004028E7"/>
    <w:rsid w:val="00402E9A"/>
    <w:rsid w:val="00403FA8"/>
    <w:rsid w:val="00404040"/>
    <w:rsid w:val="00404213"/>
    <w:rsid w:val="0040442F"/>
    <w:rsid w:val="004048AC"/>
    <w:rsid w:val="00404B8E"/>
    <w:rsid w:val="004068C2"/>
    <w:rsid w:val="00406E61"/>
    <w:rsid w:val="00407CF5"/>
    <w:rsid w:val="00407DD6"/>
    <w:rsid w:val="00412559"/>
    <w:rsid w:val="00412DBF"/>
    <w:rsid w:val="00413941"/>
    <w:rsid w:val="00414449"/>
    <w:rsid w:val="004145F0"/>
    <w:rsid w:val="00415E7F"/>
    <w:rsid w:val="004170C9"/>
    <w:rsid w:val="00417C6A"/>
    <w:rsid w:val="00420288"/>
    <w:rsid w:val="00421C78"/>
    <w:rsid w:val="004224CE"/>
    <w:rsid w:val="00423D5E"/>
    <w:rsid w:val="00424A78"/>
    <w:rsid w:val="004254DB"/>
    <w:rsid w:val="00427C54"/>
    <w:rsid w:val="00427EEA"/>
    <w:rsid w:val="00431836"/>
    <w:rsid w:val="004321E6"/>
    <w:rsid w:val="004323A9"/>
    <w:rsid w:val="0043278E"/>
    <w:rsid w:val="004327FB"/>
    <w:rsid w:val="004332A4"/>
    <w:rsid w:val="004360AC"/>
    <w:rsid w:val="004367E0"/>
    <w:rsid w:val="004369FE"/>
    <w:rsid w:val="00436B83"/>
    <w:rsid w:val="00437C10"/>
    <w:rsid w:val="00437DC3"/>
    <w:rsid w:val="00441061"/>
    <w:rsid w:val="004411A3"/>
    <w:rsid w:val="00443AB3"/>
    <w:rsid w:val="0044437F"/>
    <w:rsid w:val="0044560C"/>
    <w:rsid w:val="004501C9"/>
    <w:rsid w:val="0045086C"/>
    <w:rsid w:val="00450C70"/>
    <w:rsid w:val="00451B06"/>
    <w:rsid w:val="00452612"/>
    <w:rsid w:val="00453344"/>
    <w:rsid w:val="00453F32"/>
    <w:rsid w:val="00454E76"/>
    <w:rsid w:val="00455E48"/>
    <w:rsid w:val="00456297"/>
    <w:rsid w:val="00457080"/>
    <w:rsid w:val="00460891"/>
    <w:rsid w:val="00461411"/>
    <w:rsid w:val="0046245F"/>
    <w:rsid w:val="00463969"/>
    <w:rsid w:val="004649C3"/>
    <w:rsid w:val="00464FB2"/>
    <w:rsid w:val="00465356"/>
    <w:rsid w:val="004660A4"/>
    <w:rsid w:val="004662A8"/>
    <w:rsid w:val="00466CDC"/>
    <w:rsid w:val="0046745E"/>
    <w:rsid w:val="004725ED"/>
    <w:rsid w:val="004736BE"/>
    <w:rsid w:val="0047556D"/>
    <w:rsid w:val="00475789"/>
    <w:rsid w:val="00475B5A"/>
    <w:rsid w:val="00476170"/>
    <w:rsid w:val="00477243"/>
    <w:rsid w:val="004801D4"/>
    <w:rsid w:val="00480284"/>
    <w:rsid w:val="00481541"/>
    <w:rsid w:val="004820B0"/>
    <w:rsid w:val="00482117"/>
    <w:rsid w:val="00482E2F"/>
    <w:rsid w:val="00484BE0"/>
    <w:rsid w:val="004859B4"/>
    <w:rsid w:val="00486ACD"/>
    <w:rsid w:val="00487210"/>
    <w:rsid w:val="004876A1"/>
    <w:rsid w:val="00490B8D"/>
    <w:rsid w:val="0049255A"/>
    <w:rsid w:val="00492C65"/>
    <w:rsid w:val="0049403F"/>
    <w:rsid w:val="00494323"/>
    <w:rsid w:val="00494349"/>
    <w:rsid w:val="00494485"/>
    <w:rsid w:val="00494A6F"/>
    <w:rsid w:val="0049682B"/>
    <w:rsid w:val="00496B32"/>
    <w:rsid w:val="0049762B"/>
    <w:rsid w:val="004A0F27"/>
    <w:rsid w:val="004A0F37"/>
    <w:rsid w:val="004A0F68"/>
    <w:rsid w:val="004A1172"/>
    <w:rsid w:val="004A24B2"/>
    <w:rsid w:val="004A3608"/>
    <w:rsid w:val="004A455D"/>
    <w:rsid w:val="004A4FBD"/>
    <w:rsid w:val="004A76FF"/>
    <w:rsid w:val="004A7810"/>
    <w:rsid w:val="004A7826"/>
    <w:rsid w:val="004A7E93"/>
    <w:rsid w:val="004B021E"/>
    <w:rsid w:val="004B2A28"/>
    <w:rsid w:val="004B3171"/>
    <w:rsid w:val="004B3CFB"/>
    <w:rsid w:val="004B5105"/>
    <w:rsid w:val="004B5D6B"/>
    <w:rsid w:val="004B76F8"/>
    <w:rsid w:val="004C1327"/>
    <w:rsid w:val="004C1FA6"/>
    <w:rsid w:val="004C2869"/>
    <w:rsid w:val="004C3C88"/>
    <w:rsid w:val="004C45FF"/>
    <w:rsid w:val="004C4A0F"/>
    <w:rsid w:val="004C5056"/>
    <w:rsid w:val="004C50FF"/>
    <w:rsid w:val="004C5CFD"/>
    <w:rsid w:val="004C69EE"/>
    <w:rsid w:val="004C7777"/>
    <w:rsid w:val="004D12C0"/>
    <w:rsid w:val="004D18EA"/>
    <w:rsid w:val="004D21C9"/>
    <w:rsid w:val="004D24C4"/>
    <w:rsid w:val="004D2B29"/>
    <w:rsid w:val="004D30EE"/>
    <w:rsid w:val="004D31E6"/>
    <w:rsid w:val="004D3713"/>
    <w:rsid w:val="004D44AA"/>
    <w:rsid w:val="004D59D7"/>
    <w:rsid w:val="004D6254"/>
    <w:rsid w:val="004D70FD"/>
    <w:rsid w:val="004D7E99"/>
    <w:rsid w:val="004E00CE"/>
    <w:rsid w:val="004E13C8"/>
    <w:rsid w:val="004E2BDB"/>
    <w:rsid w:val="004E307B"/>
    <w:rsid w:val="004F02E0"/>
    <w:rsid w:val="004F0966"/>
    <w:rsid w:val="004F3B24"/>
    <w:rsid w:val="004F435F"/>
    <w:rsid w:val="004F50AF"/>
    <w:rsid w:val="004F590C"/>
    <w:rsid w:val="004F681D"/>
    <w:rsid w:val="004F6E14"/>
    <w:rsid w:val="005020A1"/>
    <w:rsid w:val="0050228C"/>
    <w:rsid w:val="00502857"/>
    <w:rsid w:val="005044A9"/>
    <w:rsid w:val="00504A5F"/>
    <w:rsid w:val="00504F68"/>
    <w:rsid w:val="005054DC"/>
    <w:rsid w:val="00505994"/>
    <w:rsid w:val="00505FD4"/>
    <w:rsid w:val="005062F0"/>
    <w:rsid w:val="00506E25"/>
    <w:rsid w:val="005077AC"/>
    <w:rsid w:val="0051132C"/>
    <w:rsid w:val="005119D0"/>
    <w:rsid w:val="00513483"/>
    <w:rsid w:val="00513A5C"/>
    <w:rsid w:val="00514A55"/>
    <w:rsid w:val="00514EF5"/>
    <w:rsid w:val="00515045"/>
    <w:rsid w:val="00516574"/>
    <w:rsid w:val="0051782D"/>
    <w:rsid w:val="0052087E"/>
    <w:rsid w:val="00521BC4"/>
    <w:rsid w:val="0052315E"/>
    <w:rsid w:val="005238AE"/>
    <w:rsid w:val="00523B73"/>
    <w:rsid w:val="00530ED3"/>
    <w:rsid w:val="00532D58"/>
    <w:rsid w:val="00533D2D"/>
    <w:rsid w:val="00534013"/>
    <w:rsid w:val="0053438E"/>
    <w:rsid w:val="005343E5"/>
    <w:rsid w:val="005346B7"/>
    <w:rsid w:val="005355EE"/>
    <w:rsid w:val="00535B16"/>
    <w:rsid w:val="005366D0"/>
    <w:rsid w:val="00537E27"/>
    <w:rsid w:val="00540B4D"/>
    <w:rsid w:val="00540FFA"/>
    <w:rsid w:val="00542930"/>
    <w:rsid w:val="005435B3"/>
    <w:rsid w:val="00544176"/>
    <w:rsid w:val="00545568"/>
    <w:rsid w:val="00550849"/>
    <w:rsid w:val="00550866"/>
    <w:rsid w:val="00554BF3"/>
    <w:rsid w:val="0055655F"/>
    <w:rsid w:val="0055657D"/>
    <w:rsid w:val="005579B9"/>
    <w:rsid w:val="00560D0D"/>
    <w:rsid w:val="005632F1"/>
    <w:rsid w:val="00564418"/>
    <w:rsid w:val="005644AD"/>
    <w:rsid w:val="00565FB1"/>
    <w:rsid w:val="005662FB"/>
    <w:rsid w:val="00567781"/>
    <w:rsid w:val="00567ECC"/>
    <w:rsid w:val="0057019C"/>
    <w:rsid w:val="005713B1"/>
    <w:rsid w:val="0057363E"/>
    <w:rsid w:val="00575904"/>
    <w:rsid w:val="0057624B"/>
    <w:rsid w:val="0057644D"/>
    <w:rsid w:val="0057649A"/>
    <w:rsid w:val="00583090"/>
    <w:rsid w:val="005835F4"/>
    <w:rsid w:val="00583EFE"/>
    <w:rsid w:val="00584076"/>
    <w:rsid w:val="005841A3"/>
    <w:rsid w:val="00585D54"/>
    <w:rsid w:val="00586D9A"/>
    <w:rsid w:val="00590EAE"/>
    <w:rsid w:val="0059112A"/>
    <w:rsid w:val="0059116B"/>
    <w:rsid w:val="005914FD"/>
    <w:rsid w:val="00591B65"/>
    <w:rsid w:val="00592A14"/>
    <w:rsid w:val="00593216"/>
    <w:rsid w:val="005933D3"/>
    <w:rsid w:val="00594933"/>
    <w:rsid w:val="00594BC3"/>
    <w:rsid w:val="00594DD8"/>
    <w:rsid w:val="00596CA7"/>
    <w:rsid w:val="00596DC8"/>
    <w:rsid w:val="00596E16"/>
    <w:rsid w:val="00597A78"/>
    <w:rsid w:val="00597CD2"/>
    <w:rsid w:val="00597DC7"/>
    <w:rsid w:val="005A16A3"/>
    <w:rsid w:val="005A1C48"/>
    <w:rsid w:val="005A253A"/>
    <w:rsid w:val="005A2AD8"/>
    <w:rsid w:val="005A2DDF"/>
    <w:rsid w:val="005A2F47"/>
    <w:rsid w:val="005A3152"/>
    <w:rsid w:val="005A40AF"/>
    <w:rsid w:val="005A6064"/>
    <w:rsid w:val="005A64BF"/>
    <w:rsid w:val="005A72CC"/>
    <w:rsid w:val="005B0565"/>
    <w:rsid w:val="005B15A4"/>
    <w:rsid w:val="005B4421"/>
    <w:rsid w:val="005B4672"/>
    <w:rsid w:val="005B513F"/>
    <w:rsid w:val="005B7483"/>
    <w:rsid w:val="005B7929"/>
    <w:rsid w:val="005C0643"/>
    <w:rsid w:val="005C23AF"/>
    <w:rsid w:val="005C25D1"/>
    <w:rsid w:val="005C35A9"/>
    <w:rsid w:val="005C464B"/>
    <w:rsid w:val="005C4E5F"/>
    <w:rsid w:val="005C74A0"/>
    <w:rsid w:val="005D052C"/>
    <w:rsid w:val="005D08AE"/>
    <w:rsid w:val="005D16FE"/>
    <w:rsid w:val="005D4084"/>
    <w:rsid w:val="005D4777"/>
    <w:rsid w:val="005D4C2B"/>
    <w:rsid w:val="005D5784"/>
    <w:rsid w:val="005D6B2B"/>
    <w:rsid w:val="005D6E0A"/>
    <w:rsid w:val="005E22CD"/>
    <w:rsid w:val="005E37AB"/>
    <w:rsid w:val="005E384D"/>
    <w:rsid w:val="005E40BD"/>
    <w:rsid w:val="005E4A4D"/>
    <w:rsid w:val="005E51FB"/>
    <w:rsid w:val="005E6B93"/>
    <w:rsid w:val="005E6F30"/>
    <w:rsid w:val="005E7953"/>
    <w:rsid w:val="005E7E82"/>
    <w:rsid w:val="005F2C42"/>
    <w:rsid w:val="005F5039"/>
    <w:rsid w:val="005F6BAB"/>
    <w:rsid w:val="005F6C28"/>
    <w:rsid w:val="005F717D"/>
    <w:rsid w:val="005F7AB6"/>
    <w:rsid w:val="005F7E3C"/>
    <w:rsid w:val="00600FA8"/>
    <w:rsid w:val="0060111D"/>
    <w:rsid w:val="006039A6"/>
    <w:rsid w:val="00604A08"/>
    <w:rsid w:val="006063DA"/>
    <w:rsid w:val="00606CD0"/>
    <w:rsid w:val="00606CE3"/>
    <w:rsid w:val="00607251"/>
    <w:rsid w:val="006119F8"/>
    <w:rsid w:val="00611DD3"/>
    <w:rsid w:val="00611EF0"/>
    <w:rsid w:val="00612219"/>
    <w:rsid w:val="00612E04"/>
    <w:rsid w:val="0061629E"/>
    <w:rsid w:val="006173A4"/>
    <w:rsid w:val="00617C44"/>
    <w:rsid w:val="00620086"/>
    <w:rsid w:val="00621639"/>
    <w:rsid w:val="00622074"/>
    <w:rsid w:val="00622CE4"/>
    <w:rsid w:val="006234A7"/>
    <w:rsid w:val="00623F8E"/>
    <w:rsid w:val="00625917"/>
    <w:rsid w:val="0062789F"/>
    <w:rsid w:val="006278BD"/>
    <w:rsid w:val="00627AB5"/>
    <w:rsid w:val="006301BE"/>
    <w:rsid w:val="0063096E"/>
    <w:rsid w:val="00632DB2"/>
    <w:rsid w:val="00633349"/>
    <w:rsid w:val="006337AF"/>
    <w:rsid w:val="00633D61"/>
    <w:rsid w:val="0063402B"/>
    <w:rsid w:val="00634E8B"/>
    <w:rsid w:val="006364A9"/>
    <w:rsid w:val="00636570"/>
    <w:rsid w:val="00636F40"/>
    <w:rsid w:val="00637859"/>
    <w:rsid w:val="00637901"/>
    <w:rsid w:val="00637E1B"/>
    <w:rsid w:val="006402DF"/>
    <w:rsid w:val="0064164B"/>
    <w:rsid w:val="0064416A"/>
    <w:rsid w:val="00644468"/>
    <w:rsid w:val="00645F5E"/>
    <w:rsid w:val="0064612E"/>
    <w:rsid w:val="00647B1E"/>
    <w:rsid w:val="00647C55"/>
    <w:rsid w:val="0065008B"/>
    <w:rsid w:val="00651443"/>
    <w:rsid w:val="00653721"/>
    <w:rsid w:val="00653A3B"/>
    <w:rsid w:val="00653FD9"/>
    <w:rsid w:val="006543A2"/>
    <w:rsid w:val="00654702"/>
    <w:rsid w:val="00654D42"/>
    <w:rsid w:val="006556BB"/>
    <w:rsid w:val="00656226"/>
    <w:rsid w:val="00656328"/>
    <w:rsid w:val="00656606"/>
    <w:rsid w:val="006569B6"/>
    <w:rsid w:val="00656D0E"/>
    <w:rsid w:val="00657102"/>
    <w:rsid w:val="006601FA"/>
    <w:rsid w:val="00660279"/>
    <w:rsid w:val="00660A94"/>
    <w:rsid w:val="00660D13"/>
    <w:rsid w:val="006610B7"/>
    <w:rsid w:val="006622B9"/>
    <w:rsid w:val="00662E1E"/>
    <w:rsid w:val="0066371E"/>
    <w:rsid w:val="0066455B"/>
    <w:rsid w:val="006647BE"/>
    <w:rsid w:val="00665386"/>
    <w:rsid w:val="00665B50"/>
    <w:rsid w:val="00666744"/>
    <w:rsid w:val="00666F28"/>
    <w:rsid w:val="006707A0"/>
    <w:rsid w:val="00670BC4"/>
    <w:rsid w:val="006718ED"/>
    <w:rsid w:val="006724AD"/>
    <w:rsid w:val="00672BAB"/>
    <w:rsid w:val="0067314A"/>
    <w:rsid w:val="00673D1E"/>
    <w:rsid w:val="00673EE5"/>
    <w:rsid w:val="0067557E"/>
    <w:rsid w:val="00675E9D"/>
    <w:rsid w:val="006779CF"/>
    <w:rsid w:val="00677A8F"/>
    <w:rsid w:val="00677D63"/>
    <w:rsid w:val="00677F8A"/>
    <w:rsid w:val="006821E3"/>
    <w:rsid w:val="00683AD6"/>
    <w:rsid w:val="006842AE"/>
    <w:rsid w:val="006866C9"/>
    <w:rsid w:val="006875BA"/>
    <w:rsid w:val="0069097D"/>
    <w:rsid w:val="00693FEA"/>
    <w:rsid w:val="006945EC"/>
    <w:rsid w:val="00694C68"/>
    <w:rsid w:val="00694E8A"/>
    <w:rsid w:val="00695BC7"/>
    <w:rsid w:val="006A0952"/>
    <w:rsid w:val="006A511D"/>
    <w:rsid w:val="006A5773"/>
    <w:rsid w:val="006A5804"/>
    <w:rsid w:val="006A58F0"/>
    <w:rsid w:val="006A6262"/>
    <w:rsid w:val="006A7CE7"/>
    <w:rsid w:val="006B0372"/>
    <w:rsid w:val="006B0764"/>
    <w:rsid w:val="006B081C"/>
    <w:rsid w:val="006B2A84"/>
    <w:rsid w:val="006B4467"/>
    <w:rsid w:val="006B6C46"/>
    <w:rsid w:val="006B6E78"/>
    <w:rsid w:val="006B76AB"/>
    <w:rsid w:val="006B7970"/>
    <w:rsid w:val="006C0039"/>
    <w:rsid w:val="006C1927"/>
    <w:rsid w:val="006C2585"/>
    <w:rsid w:val="006C4008"/>
    <w:rsid w:val="006C4E2C"/>
    <w:rsid w:val="006C5931"/>
    <w:rsid w:val="006C73EF"/>
    <w:rsid w:val="006D1723"/>
    <w:rsid w:val="006D3B21"/>
    <w:rsid w:val="006D5D3F"/>
    <w:rsid w:val="006D5D99"/>
    <w:rsid w:val="006D60ED"/>
    <w:rsid w:val="006E1166"/>
    <w:rsid w:val="006E24D9"/>
    <w:rsid w:val="006E25BA"/>
    <w:rsid w:val="006E27C6"/>
    <w:rsid w:val="006E4834"/>
    <w:rsid w:val="006E596E"/>
    <w:rsid w:val="006E65E0"/>
    <w:rsid w:val="006F033F"/>
    <w:rsid w:val="006F24D8"/>
    <w:rsid w:val="006F33B8"/>
    <w:rsid w:val="006F4C9C"/>
    <w:rsid w:val="006F640F"/>
    <w:rsid w:val="006F64B8"/>
    <w:rsid w:val="006F6ECF"/>
    <w:rsid w:val="006F762A"/>
    <w:rsid w:val="00701B6B"/>
    <w:rsid w:val="007026CB"/>
    <w:rsid w:val="00702D07"/>
    <w:rsid w:val="0070384F"/>
    <w:rsid w:val="00703A9E"/>
    <w:rsid w:val="00703D6D"/>
    <w:rsid w:val="00704095"/>
    <w:rsid w:val="00704152"/>
    <w:rsid w:val="00704284"/>
    <w:rsid w:val="00704FB5"/>
    <w:rsid w:val="00706B71"/>
    <w:rsid w:val="0071022A"/>
    <w:rsid w:val="00711062"/>
    <w:rsid w:val="00711D06"/>
    <w:rsid w:val="00711F79"/>
    <w:rsid w:val="0071277A"/>
    <w:rsid w:val="00712EE5"/>
    <w:rsid w:val="00713493"/>
    <w:rsid w:val="00713494"/>
    <w:rsid w:val="00713EA7"/>
    <w:rsid w:val="00714031"/>
    <w:rsid w:val="0071466E"/>
    <w:rsid w:val="00714843"/>
    <w:rsid w:val="00714A6C"/>
    <w:rsid w:val="00714CD3"/>
    <w:rsid w:val="0071582C"/>
    <w:rsid w:val="00716174"/>
    <w:rsid w:val="007203D8"/>
    <w:rsid w:val="007206A8"/>
    <w:rsid w:val="0072070F"/>
    <w:rsid w:val="0072116D"/>
    <w:rsid w:val="0072226F"/>
    <w:rsid w:val="00722B3F"/>
    <w:rsid w:val="0072318D"/>
    <w:rsid w:val="00725618"/>
    <w:rsid w:val="00725B78"/>
    <w:rsid w:val="00727082"/>
    <w:rsid w:val="00731936"/>
    <w:rsid w:val="0073233C"/>
    <w:rsid w:val="00732D0C"/>
    <w:rsid w:val="00733EAD"/>
    <w:rsid w:val="00734A93"/>
    <w:rsid w:val="00734F54"/>
    <w:rsid w:val="007358C1"/>
    <w:rsid w:val="00736D93"/>
    <w:rsid w:val="00737C04"/>
    <w:rsid w:val="00737F64"/>
    <w:rsid w:val="007422C9"/>
    <w:rsid w:val="00742553"/>
    <w:rsid w:val="00743EC6"/>
    <w:rsid w:val="00744110"/>
    <w:rsid w:val="00744595"/>
    <w:rsid w:val="00744C3C"/>
    <w:rsid w:val="0074695A"/>
    <w:rsid w:val="00747A52"/>
    <w:rsid w:val="00750F1E"/>
    <w:rsid w:val="00751AE4"/>
    <w:rsid w:val="00751C12"/>
    <w:rsid w:val="00752691"/>
    <w:rsid w:val="007528F2"/>
    <w:rsid w:val="007543C1"/>
    <w:rsid w:val="007575C4"/>
    <w:rsid w:val="00757D63"/>
    <w:rsid w:val="00760699"/>
    <w:rsid w:val="00760987"/>
    <w:rsid w:val="00760C36"/>
    <w:rsid w:val="007610D4"/>
    <w:rsid w:val="00762A1B"/>
    <w:rsid w:val="00762D6D"/>
    <w:rsid w:val="00763700"/>
    <w:rsid w:val="00763E19"/>
    <w:rsid w:val="0076427C"/>
    <w:rsid w:val="00765217"/>
    <w:rsid w:val="007655C0"/>
    <w:rsid w:val="007659AA"/>
    <w:rsid w:val="00766334"/>
    <w:rsid w:val="007670F2"/>
    <w:rsid w:val="00767F22"/>
    <w:rsid w:val="00771A6A"/>
    <w:rsid w:val="0077266C"/>
    <w:rsid w:val="00772802"/>
    <w:rsid w:val="00772DE3"/>
    <w:rsid w:val="00775066"/>
    <w:rsid w:val="00776406"/>
    <w:rsid w:val="007770EE"/>
    <w:rsid w:val="0078005A"/>
    <w:rsid w:val="00781B6F"/>
    <w:rsid w:val="00781F9C"/>
    <w:rsid w:val="007820ED"/>
    <w:rsid w:val="00782A7C"/>
    <w:rsid w:val="00782DFD"/>
    <w:rsid w:val="00784424"/>
    <w:rsid w:val="00785474"/>
    <w:rsid w:val="00787235"/>
    <w:rsid w:val="0078772C"/>
    <w:rsid w:val="00787B99"/>
    <w:rsid w:val="0079046A"/>
    <w:rsid w:val="007907C8"/>
    <w:rsid w:val="00791D3F"/>
    <w:rsid w:val="007925B6"/>
    <w:rsid w:val="00792ABF"/>
    <w:rsid w:val="007934F5"/>
    <w:rsid w:val="0079421C"/>
    <w:rsid w:val="0079526D"/>
    <w:rsid w:val="00795A2C"/>
    <w:rsid w:val="00797309"/>
    <w:rsid w:val="00797390"/>
    <w:rsid w:val="007A0015"/>
    <w:rsid w:val="007A05B6"/>
    <w:rsid w:val="007A1C0A"/>
    <w:rsid w:val="007A1C59"/>
    <w:rsid w:val="007A1D4E"/>
    <w:rsid w:val="007A4397"/>
    <w:rsid w:val="007A5B41"/>
    <w:rsid w:val="007B15B4"/>
    <w:rsid w:val="007B26A9"/>
    <w:rsid w:val="007B3372"/>
    <w:rsid w:val="007B3A76"/>
    <w:rsid w:val="007B5792"/>
    <w:rsid w:val="007B6AAE"/>
    <w:rsid w:val="007C1032"/>
    <w:rsid w:val="007C2934"/>
    <w:rsid w:val="007C31E2"/>
    <w:rsid w:val="007C3402"/>
    <w:rsid w:val="007C5CE1"/>
    <w:rsid w:val="007C5F8D"/>
    <w:rsid w:val="007C6F85"/>
    <w:rsid w:val="007D0569"/>
    <w:rsid w:val="007D16B1"/>
    <w:rsid w:val="007D19E4"/>
    <w:rsid w:val="007D2001"/>
    <w:rsid w:val="007D2C1F"/>
    <w:rsid w:val="007D3A64"/>
    <w:rsid w:val="007D5591"/>
    <w:rsid w:val="007D7400"/>
    <w:rsid w:val="007D7761"/>
    <w:rsid w:val="007D79FF"/>
    <w:rsid w:val="007E02A7"/>
    <w:rsid w:val="007E283B"/>
    <w:rsid w:val="007E468A"/>
    <w:rsid w:val="007E4CA1"/>
    <w:rsid w:val="007E51A5"/>
    <w:rsid w:val="007E557A"/>
    <w:rsid w:val="007E5629"/>
    <w:rsid w:val="007E5E62"/>
    <w:rsid w:val="007E69E6"/>
    <w:rsid w:val="007E7F4C"/>
    <w:rsid w:val="007F067D"/>
    <w:rsid w:val="007F2EC6"/>
    <w:rsid w:val="007F3018"/>
    <w:rsid w:val="007F3BD5"/>
    <w:rsid w:val="007F3D70"/>
    <w:rsid w:val="007F5E06"/>
    <w:rsid w:val="007F6862"/>
    <w:rsid w:val="008013FC"/>
    <w:rsid w:val="008060C3"/>
    <w:rsid w:val="008063A1"/>
    <w:rsid w:val="008079CD"/>
    <w:rsid w:val="00807F00"/>
    <w:rsid w:val="00812095"/>
    <w:rsid w:val="008134BD"/>
    <w:rsid w:val="008139A5"/>
    <w:rsid w:val="00814656"/>
    <w:rsid w:val="008169A8"/>
    <w:rsid w:val="00816DA8"/>
    <w:rsid w:val="00820E45"/>
    <w:rsid w:val="00821E2C"/>
    <w:rsid w:val="00822835"/>
    <w:rsid w:val="00823836"/>
    <w:rsid w:val="0082459B"/>
    <w:rsid w:val="00824902"/>
    <w:rsid w:val="00826758"/>
    <w:rsid w:val="00826A13"/>
    <w:rsid w:val="008313D1"/>
    <w:rsid w:val="00833045"/>
    <w:rsid w:val="00833261"/>
    <w:rsid w:val="008344AE"/>
    <w:rsid w:val="00834A7F"/>
    <w:rsid w:val="00834CEC"/>
    <w:rsid w:val="008353E0"/>
    <w:rsid w:val="008365F0"/>
    <w:rsid w:val="00836AF0"/>
    <w:rsid w:val="00836B6F"/>
    <w:rsid w:val="00841534"/>
    <w:rsid w:val="008423C3"/>
    <w:rsid w:val="00843F2E"/>
    <w:rsid w:val="008462C7"/>
    <w:rsid w:val="008462F1"/>
    <w:rsid w:val="00846930"/>
    <w:rsid w:val="0085066C"/>
    <w:rsid w:val="00850FDE"/>
    <w:rsid w:val="00852876"/>
    <w:rsid w:val="008543F5"/>
    <w:rsid w:val="00855004"/>
    <w:rsid w:val="00855994"/>
    <w:rsid w:val="00855CD1"/>
    <w:rsid w:val="008572C4"/>
    <w:rsid w:val="0085733E"/>
    <w:rsid w:val="0085765A"/>
    <w:rsid w:val="008604A8"/>
    <w:rsid w:val="00860E64"/>
    <w:rsid w:val="008613CE"/>
    <w:rsid w:val="008616F7"/>
    <w:rsid w:val="00861AFA"/>
    <w:rsid w:val="00863C61"/>
    <w:rsid w:val="00865522"/>
    <w:rsid w:val="008658B6"/>
    <w:rsid w:val="00865ADF"/>
    <w:rsid w:val="0086644C"/>
    <w:rsid w:val="008666B5"/>
    <w:rsid w:val="008703B3"/>
    <w:rsid w:val="00871F13"/>
    <w:rsid w:val="0087202F"/>
    <w:rsid w:val="00872B72"/>
    <w:rsid w:val="00873FD8"/>
    <w:rsid w:val="008749AE"/>
    <w:rsid w:val="00875665"/>
    <w:rsid w:val="00876985"/>
    <w:rsid w:val="008771AF"/>
    <w:rsid w:val="008808E6"/>
    <w:rsid w:val="00883780"/>
    <w:rsid w:val="00883856"/>
    <w:rsid w:val="00883B99"/>
    <w:rsid w:val="00885066"/>
    <w:rsid w:val="00885AAD"/>
    <w:rsid w:val="00885F85"/>
    <w:rsid w:val="0088665E"/>
    <w:rsid w:val="008876DF"/>
    <w:rsid w:val="00887F48"/>
    <w:rsid w:val="00891DA4"/>
    <w:rsid w:val="008923C8"/>
    <w:rsid w:val="008924B5"/>
    <w:rsid w:val="00893260"/>
    <w:rsid w:val="008932A8"/>
    <w:rsid w:val="00893756"/>
    <w:rsid w:val="00893E9A"/>
    <w:rsid w:val="00894A9E"/>
    <w:rsid w:val="008950F6"/>
    <w:rsid w:val="00895175"/>
    <w:rsid w:val="008961E1"/>
    <w:rsid w:val="00896815"/>
    <w:rsid w:val="008A0744"/>
    <w:rsid w:val="008A0A6E"/>
    <w:rsid w:val="008A0D0F"/>
    <w:rsid w:val="008A2F49"/>
    <w:rsid w:val="008A2FB3"/>
    <w:rsid w:val="008A398B"/>
    <w:rsid w:val="008A39AD"/>
    <w:rsid w:val="008A4A79"/>
    <w:rsid w:val="008A5601"/>
    <w:rsid w:val="008A58EB"/>
    <w:rsid w:val="008A59AD"/>
    <w:rsid w:val="008B0EEB"/>
    <w:rsid w:val="008B32E9"/>
    <w:rsid w:val="008B431D"/>
    <w:rsid w:val="008B4504"/>
    <w:rsid w:val="008B4DD0"/>
    <w:rsid w:val="008B51FD"/>
    <w:rsid w:val="008B6269"/>
    <w:rsid w:val="008B6766"/>
    <w:rsid w:val="008B70F5"/>
    <w:rsid w:val="008B7186"/>
    <w:rsid w:val="008B7192"/>
    <w:rsid w:val="008B7D40"/>
    <w:rsid w:val="008C1939"/>
    <w:rsid w:val="008C2130"/>
    <w:rsid w:val="008C3396"/>
    <w:rsid w:val="008C3676"/>
    <w:rsid w:val="008C621C"/>
    <w:rsid w:val="008C697C"/>
    <w:rsid w:val="008C7448"/>
    <w:rsid w:val="008C75ED"/>
    <w:rsid w:val="008C7649"/>
    <w:rsid w:val="008C7AC7"/>
    <w:rsid w:val="008E01B3"/>
    <w:rsid w:val="008E03B0"/>
    <w:rsid w:val="008E0991"/>
    <w:rsid w:val="008E1FCD"/>
    <w:rsid w:val="008E338E"/>
    <w:rsid w:val="008E37D6"/>
    <w:rsid w:val="008E43EB"/>
    <w:rsid w:val="008E4444"/>
    <w:rsid w:val="008E57FE"/>
    <w:rsid w:val="008E5C54"/>
    <w:rsid w:val="008E5DB7"/>
    <w:rsid w:val="008E6B56"/>
    <w:rsid w:val="008F14CC"/>
    <w:rsid w:val="008F1818"/>
    <w:rsid w:val="008F2665"/>
    <w:rsid w:val="008F446B"/>
    <w:rsid w:val="008F507E"/>
    <w:rsid w:val="008F5251"/>
    <w:rsid w:val="008F5971"/>
    <w:rsid w:val="008F6376"/>
    <w:rsid w:val="00900CC2"/>
    <w:rsid w:val="00901770"/>
    <w:rsid w:val="009019FB"/>
    <w:rsid w:val="00902AA5"/>
    <w:rsid w:val="009052B7"/>
    <w:rsid w:val="00905B05"/>
    <w:rsid w:val="0090753C"/>
    <w:rsid w:val="00907579"/>
    <w:rsid w:val="0090759D"/>
    <w:rsid w:val="0091156F"/>
    <w:rsid w:val="00911B66"/>
    <w:rsid w:val="009122D4"/>
    <w:rsid w:val="00912A7E"/>
    <w:rsid w:val="00915330"/>
    <w:rsid w:val="00916E69"/>
    <w:rsid w:val="00917525"/>
    <w:rsid w:val="0091777D"/>
    <w:rsid w:val="00917C39"/>
    <w:rsid w:val="0092057D"/>
    <w:rsid w:val="00920E6D"/>
    <w:rsid w:val="0092113B"/>
    <w:rsid w:val="009218DE"/>
    <w:rsid w:val="00922D00"/>
    <w:rsid w:val="009233CC"/>
    <w:rsid w:val="00923F17"/>
    <w:rsid w:val="009266DA"/>
    <w:rsid w:val="00927F35"/>
    <w:rsid w:val="00930DE8"/>
    <w:rsid w:val="009318DD"/>
    <w:rsid w:val="009352C3"/>
    <w:rsid w:val="00935413"/>
    <w:rsid w:val="009355C2"/>
    <w:rsid w:val="00935F5D"/>
    <w:rsid w:val="0093669F"/>
    <w:rsid w:val="009368E0"/>
    <w:rsid w:val="0094260B"/>
    <w:rsid w:val="00942661"/>
    <w:rsid w:val="00945307"/>
    <w:rsid w:val="0094558D"/>
    <w:rsid w:val="0094697C"/>
    <w:rsid w:val="00946FCE"/>
    <w:rsid w:val="00950334"/>
    <w:rsid w:val="009515BC"/>
    <w:rsid w:val="0095349A"/>
    <w:rsid w:val="00953B5B"/>
    <w:rsid w:val="00953ED0"/>
    <w:rsid w:val="0095492E"/>
    <w:rsid w:val="00955F7D"/>
    <w:rsid w:val="00960FDF"/>
    <w:rsid w:val="0096242F"/>
    <w:rsid w:val="00962E3B"/>
    <w:rsid w:val="00962FF5"/>
    <w:rsid w:val="0096341C"/>
    <w:rsid w:val="00964A4E"/>
    <w:rsid w:val="00965B02"/>
    <w:rsid w:val="00965C07"/>
    <w:rsid w:val="00965D2D"/>
    <w:rsid w:val="00967C86"/>
    <w:rsid w:val="00970A16"/>
    <w:rsid w:val="00971847"/>
    <w:rsid w:val="00972964"/>
    <w:rsid w:val="00974AA7"/>
    <w:rsid w:val="009774D2"/>
    <w:rsid w:val="0097762F"/>
    <w:rsid w:val="00977B11"/>
    <w:rsid w:val="00977C0A"/>
    <w:rsid w:val="009806D2"/>
    <w:rsid w:val="009816B8"/>
    <w:rsid w:val="00983B45"/>
    <w:rsid w:val="00983B5C"/>
    <w:rsid w:val="009846AF"/>
    <w:rsid w:val="00985E6B"/>
    <w:rsid w:val="00986177"/>
    <w:rsid w:val="0098709A"/>
    <w:rsid w:val="0098766F"/>
    <w:rsid w:val="00993912"/>
    <w:rsid w:val="00993ABC"/>
    <w:rsid w:val="00994050"/>
    <w:rsid w:val="0099556F"/>
    <w:rsid w:val="009962CF"/>
    <w:rsid w:val="009969D6"/>
    <w:rsid w:val="009A0CF2"/>
    <w:rsid w:val="009A12D7"/>
    <w:rsid w:val="009A4268"/>
    <w:rsid w:val="009A4543"/>
    <w:rsid w:val="009A5DB1"/>
    <w:rsid w:val="009A7C5A"/>
    <w:rsid w:val="009A7E51"/>
    <w:rsid w:val="009B2040"/>
    <w:rsid w:val="009B21B9"/>
    <w:rsid w:val="009B2FAD"/>
    <w:rsid w:val="009B3377"/>
    <w:rsid w:val="009B3494"/>
    <w:rsid w:val="009B4CD0"/>
    <w:rsid w:val="009B4DA7"/>
    <w:rsid w:val="009C21C6"/>
    <w:rsid w:val="009C383B"/>
    <w:rsid w:val="009C3A80"/>
    <w:rsid w:val="009C41EC"/>
    <w:rsid w:val="009C45B8"/>
    <w:rsid w:val="009C5238"/>
    <w:rsid w:val="009C5D8F"/>
    <w:rsid w:val="009C79C9"/>
    <w:rsid w:val="009D12B4"/>
    <w:rsid w:val="009D1E70"/>
    <w:rsid w:val="009D2135"/>
    <w:rsid w:val="009D21BF"/>
    <w:rsid w:val="009D2FA7"/>
    <w:rsid w:val="009D3673"/>
    <w:rsid w:val="009D4166"/>
    <w:rsid w:val="009D4CAE"/>
    <w:rsid w:val="009D55F9"/>
    <w:rsid w:val="009D5837"/>
    <w:rsid w:val="009D5A11"/>
    <w:rsid w:val="009D752D"/>
    <w:rsid w:val="009D765F"/>
    <w:rsid w:val="009D7760"/>
    <w:rsid w:val="009E16E6"/>
    <w:rsid w:val="009E1C0D"/>
    <w:rsid w:val="009E1E62"/>
    <w:rsid w:val="009E2953"/>
    <w:rsid w:val="009E30CE"/>
    <w:rsid w:val="009E3414"/>
    <w:rsid w:val="009E4232"/>
    <w:rsid w:val="009E4BA2"/>
    <w:rsid w:val="009E4CDF"/>
    <w:rsid w:val="009E738D"/>
    <w:rsid w:val="009F04C3"/>
    <w:rsid w:val="009F0760"/>
    <w:rsid w:val="009F0DA4"/>
    <w:rsid w:val="009F102B"/>
    <w:rsid w:val="009F3B29"/>
    <w:rsid w:val="009F3DC7"/>
    <w:rsid w:val="009F4860"/>
    <w:rsid w:val="009F4BF4"/>
    <w:rsid w:val="009F5BF2"/>
    <w:rsid w:val="009F783C"/>
    <w:rsid w:val="009F7FF4"/>
    <w:rsid w:val="00A00057"/>
    <w:rsid w:val="00A00485"/>
    <w:rsid w:val="00A00EBA"/>
    <w:rsid w:val="00A01432"/>
    <w:rsid w:val="00A01690"/>
    <w:rsid w:val="00A01A5F"/>
    <w:rsid w:val="00A025AC"/>
    <w:rsid w:val="00A026B2"/>
    <w:rsid w:val="00A02C96"/>
    <w:rsid w:val="00A02E65"/>
    <w:rsid w:val="00A0340A"/>
    <w:rsid w:val="00A0440C"/>
    <w:rsid w:val="00A047AE"/>
    <w:rsid w:val="00A04C82"/>
    <w:rsid w:val="00A0585F"/>
    <w:rsid w:val="00A0694A"/>
    <w:rsid w:val="00A075C0"/>
    <w:rsid w:val="00A077AC"/>
    <w:rsid w:val="00A07A33"/>
    <w:rsid w:val="00A106D9"/>
    <w:rsid w:val="00A10A30"/>
    <w:rsid w:val="00A110DE"/>
    <w:rsid w:val="00A1137C"/>
    <w:rsid w:val="00A113D7"/>
    <w:rsid w:val="00A11F0F"/>
    <w:rsid w:val="00A149C2"/>
    <w:rsid w:val="00A1575C"/>
    <w:rsid w:val="00A16126"/>
    <w:rsid w:val="00A165DB"/>
    <w:rsid w:val="00A20043"/>
    <w:rsid w:val="00A2083D"/>
    <w:rsid w:val="00A21C6C"/>
    <w:rsid w:val="00A2365A"/>
    <w:rsid w:val="00A24133"/>
    <w:rsid w:val="00A24B81"/>
    <w:rsid w:val="00A262BF"/>
    <w:rsid w:val="00A27809"/>
    <w:rsid w:val="00A30533"/>
    <w:rsid w:val="00A3087F"/>
    <w:rsid w:val="00A3122E"/>
    <w:rsid w:val="00A317B0"/>
    <w:rsid w:val="00A31BF6"/>
    <w:rsid w:val="00A34591"/>
    <w:rsid w:val="00A34E44"/>
    <w:rsid w:val="00A35B8F"/>
    <w:rsid w:val="00A3640F"/>
    <w:rsid w:val="00A37ECF"/>
    <w:rsid w:val="00A40CE2"/>
    <w:rsid w:val="00A41F05"/>
    <w:rsid w:val="00A42FAE"/>
    <w:rsid w:val="00A43175"/>
    <w:rsid w:val="00A43553"/>
    <w:rsid w:val="00A47176"/>
    <w:rsid w:val="00A475C5"/>
    <w:rsid w:val="00A4768C"/>
    <w:rsid w:val="00A47E50"/>
    <w:rsid w:val="00A502F6"/>
    <w:rsid w:val="00A50A68"/>
    <w:rsid w:val="00A50D3B"/>
    <w:rsid w:val="00A50E38"/>
    <w:rsid w:val="00A510C6"/>
    <w:rsid w:val="00A518AA"/>
    <w:rsid w:val="00A525E7"/>
    <w:rsid w:val="00A52C60"/>
    <w:rsid w:val="00A52F9E"/>
    <w:rsid w:val="00A539ED"/>
    <w:rsid w:val="00A54658"/>
    <w:rsid w:val="00A56348"/>
    <w:rsid w:val="00A5703F"/>
    <w:rsid w:val="00A57D39"/>
    <w:rsid w:val="00A60B95"/>
    <w:rsid w:val="00A61825"/>
    <w:rsid w:val="00A61E2D"/>
    <w:rsid w:val="00A6316B"/>
    <w:rsid w:val="00A633C6"/>
    <w:rsid w:val="00A65316"/>
    <w:rsid w:val="00A674FF"/>
    <w:rsid w:val="00A70F69"/>
    <w:rsid w:val="00A72113"/>
    <w:rsid w:val="00A72611"/>
    <w:rsid w:val="00A7312E"/>
    <w:rsid w:val="00A73ABB"/>
    <w:rsid w:val="00A751A1"/>
    <w:rsid w:val="00A76D2C"/>
    <w:rsid w:val="00A77746"/>
    <w:rsid w:val="00A806AA"/>
    <w:rsid w:val="00A8224E"/>
    <w:rsid w:val="00A83594"/>
    <w:rsid w:val="00A83BF6"/>
    <w:rsid w:val="00A84BAC"/>
    <w:rsid w:val="00A84CBA"/>
    <w:rsid w:val="00A85BA3"/>
    <w:rsid w:val="00A87B4F"/>
    <w:rsid w:val="00A87F31"/>
    <w:rsid w:val="00A90D27"/>
    <w:rsid w:val="00A9103B"/>
    <w:rsid w:val="00A91284"/>
    <w:rsid w:val="00A918A7"/>
    <w:rsid w:val="00A92871"/>
    <w:rsid w:val="00A950DA"/>
    <w:rsid w:val="00A955EB"/>
    <w:rsid w:val="00A9591E"/>
    <w:rsid w:val="00AA1F49"/>
    <w:rsid w:val="00AA2A34"/>
    <w:rsid w:val="00AA3A2E"/>
    <w:rsid w:val="00AA4099"/>
    <w:rsid w:val="00AA4619"/>
    <w:rsid w:val="00AA4D5A"/>
    <w:rsid w:val="00AA6835"/>
    <w:rsid w:val="00AA688A"/>
    <w:rsid w:val="00AA6913"/>
    <w:rsid w:val="00AB00F3"/>
    <w:rsid w:val="00AB0650"/>
    <w:rsid w:val="00AB1D9C"/>
    <w:rsid w:val="00AB2190"/>
    <w:rsid w:val="00AB2CA0"/>
    <w:rsid w:val="00AB39EB"/>
    <w:rsid w:val="00AB3F27"/>
    <w:rsid w:val="00AB3FD9"/>
    <w:rsid w:val="00AB7DE7"/>
    <w:rsid w:val="00AC01D4"/>
    <w:rsid w:val="00AC03AB"/>
    <w:rsid w:val="00AC0650"/>
    <w:rsid w:val="00AC07E0"/>
    <w:rsid w:val="00AC1BE7"/>
    <w:rsid w:val="00AC1F02"/>
    <w:rsid w:val="00AC275F"/>
    <w:rsid w:val="00AC3ADE"/>
    <w:rsid w:val="00AC3EE4"/>
    <w:rsid w:val="00AC4D72"/>
    <w:rsid w:val="00AC50A4"/>
    <w:rsid w:val="00AC5647"/>
    <w:rsid w:val="00AC5A95"/>
    <w:rsid w:val="00AC6074"/>
    <w:rsid w:val="00AC6471"/>
    <w:rsid w:val="00AD1751"/>
    <w:rsid w:val="00AD2B6E"/>
    <w:rsid w:val="00AD340D"/>
    <w:rsid w:val="00AD3443"/>
    <w:rsid w:val="00AD34F6"/>
    <w:rsid w:val="00AD3E9B"/>
    <w:rsid w:val="00AD4B3C"/>
    <w:rsid w:val="00AD5047"/>
    <w:rsid w:val="00AD66C0"/>
    <w:rsid w:val="00AD68A5"/>
    <w:rsid w:val="00AD73EF"/>
    <w:rsid w:val="00AD7E63"/>
    <w:rsid w:val="00AE147F"/>
    <w:rsid w:val="00AE185D"/>
    <w:rsid w:val="00AE1BFE"/>
    <w:rsid w:val="00AE22F5"/>
    <w:rsid w:val="00AE3842"/>
    <w:rsid w:val="00AE3D83"/>
    <w:rsid w:val="00AE4374"/>
    <w:rsid w:val="00AE466A"/>
    <w:rsid w:val="00AE47E9"/>
    <w:rsid w:val="00AE485C"/>
    <w:rsid w:val="00AE7D4F"/>
    <w:rsid w:val="00AE7FE4"/>
    <w:rsid w:val="00AF0117"/>
    <w:rsid w:val="00AF0171"/>
    <w:rsid w:val="00AF17D3"/>
    <w:rsid w:val="00AF1D77"/>
    <w:rsid w:val="00AF1E50"/>
    <w:rsid w:val="00AF286A"/>
    <w:rsid w:val="00AF38BA"/>
    <w:rsid w:val="00AF4808"/>
    <w:rsid w:val="00AF4F67"/>
    <w:rsid w:val="00AF5811"/>
    <w:rsid w:val="00AF6509"/>
    <w:rsid w:val="00AF6F05"/>
    <w:rsid w:val="00B00BBE"/>
    <w:rsid w:val="00B016C9"/>
    <w:rsid w:val="00B02F19"/>
    <w:rsid w:val="00B04449"/>
    <w:rsid w:val="00B0456E"/>
    <w:rsid w:val="00B06A05"/>
    <w:rsid w:val="00B06BF6"/>
    <w:rsid w:val="00B06F7F"/>
    <w:rsid w:val="00B100F0"/>
    <w:rsid w:val="00B13078"/>
    <w:rsid w:val="00B1402E"/>
    <w:rsid w:val="00B142FD"/>
    <w:rsid w:val="00B14865"/>
    <w:rsid w:val="00B1561B"/>
    <w:rsid w:val="00B206A5"/>
    <w:rsid w:val="00B20B93"/>
    <w:rsid w:val="00B21D50"/>
    <w:rsid w:val="00B229BE"/>
    <w:rsid w:val="00B22F9B"/>
    <w:rsid w:val="00B23747"/>
    <w:rsid w:val="00B23E0A"/>
    <w:rsid w:val="00B24090"/>
    <w:rsid w:val="00B257E3"/>
    <w:rsid w:val="00B260C7"/>
    <w:rsid w:val="00B27494"/>
    <w:rsid w:val="00B279B9"/>
    <w:rsid w:val="00B27BFD"/>
    <w:rsid w:val="00B304BF"/>
    <w:rsid w:val="00B307CA"/>
    <w:rsid w:val="00B30FD0"/>
    <w:rsid w:val="00B330D5"/>
    <w:rsid w:val="00B34F48"/>
    <w:rsid w:val="00B37F84"/>
    <w:rsid w:val="00B4117C"/>
    <w:rsid w:val="00B4151A"/>
    <w:rsid w:val="00B44A7E"/>
    <w:rsid w:val="00B45DF2"/>
    <w:rsid w:val="00B47780"/>
    <w:rsid w:val="00B51BA0"/>
    <w:rsid w:val="00B535BD"/>
    <w:rsid w:val="00B53701"/>
    <w:rsid w:val="00B53910"/>
    <w:rsid w:val="00B539F7"/>
    <w:rsid w:val="00B5509D"/>
    <w:rsid w:val="00B56A26"/>
    <w:rsid w:val="00B56C5F"/>
    <w:rsid w:val="00B573E6"/>
    <w:rsid w:val="00B6110A"/>
    <w:rsid w:val="00B6176A"/>
    <w:rsid w:val="00B6301A"/>
    <w:rsid w:val="00B642FB"/>
    <w:rsid w:val="00B64799"/>
    <w:rsid w:val="00B64845"/>
    <w:rsid w:val="00B64CAD"/>
    <w:rsid w:val="00B651FA"/>
    <w:rsid w:val="00B66751"/>
    <w:rsid w:val="00B66B7C"/>
    <w:rsid w:val="00B66CD7"/>
    <w:rsid w:val="00B67AA6"/>
    <w:rsid w:val="00B7066C"/>
    <w:rsid w:val="00B717D8"/>
    <w:rsid w:val="00B718E0"/>
    <w:rsid w:val="00B72DF3"/>
    <w:rsid w:val="00B74146"/>
    <w:rsid w:val="00B747A3"/>
    <w:rsid w:val="00B753D3"/>
    <w:rsid w:val="00B75A27"/>
    <w:rsid w:val="00B75E52"/>
    <w:rsid w:val="00B76F6C"/>
    <w:rsid w:val="00B8080B"/>
    <w:rsid w:val="00B811EF"/>
    <w:rsid w:val="00B81568"/>
    <w:rsid w:val="00B82740"/>
    <w:rsid w:val="00B8310D"/>
    <w:rsid w:val="00B831B9"/>
    <w:rsid w:val="00B8431A"/>
    <w:rsid w:val="00B85791"/>
    <w:rsid w:val="00B86EF1"/>
    <w:rsid w:val="00B87671"/>
    <w:rsid w:val="00B90487"/>
    <w:rsid w:val="00B90674"/>
    <w:rsid w:val="00B91F77"/>
    <w:rsid w:val="00B91FFF"/>
    <w:rsid w:val="00B934E3"/>
    <w:rsid w:val="00B93CCF"/>
    <w:rsid w:val="00B94323"/>
    <w:rsid w:val="00B94444"/>
    <w:rsid w:val="00B9566B"/>
    <w:rsid w:val="00B9596F"/>
    <w:rsid w:val="00B95F92"/>
    <w:rsid w:val="00B961B7"/>
    <w:rsid w:val="00B963D4"/>
    <w:rsid w:val="00B975C8"/>
    <w:rsid w:val="00B9772B"/>
    <w:rsid w:val="00BA1C01"/>
    <w:rsid w:val="00BA2DEF"/>
    <w:rsid w:val="00BA35F2"/>
    <w:rsid w:val="00BA42FB"/>
    <w:rsid w:val="00BA4768"/>
    <w:rsid w:val="00BA4861"/>
    <w:rsid w:val="00BA4A92"/>
    <w:rsid w:val="00BA516F"/>
    <w:rsid w:val="00BA628C"/>
    <w:rsid w:val="00BA7059"/>
    <w:rsid w:val="00BB0051"/>
    <w:rsid w:val="00BB02C6"/>
    <w:rsid w:val="00BB0EB7"/>
    <w:rsid w:val="00BB1082"/>
    <w:rsid w:val="00BB2127"/>
    <w:rsid w:val="00BB3805"/>
    <w:rsid w:val="00BB4109"/>
    <w:rsid w:val="00BB4589"/>
    <w:rsid w:val="00BB52A5"/>
    <w:rsid w:val="00BB5893"/>
    <w:rsid w:val="00BB6740"/>
    <w:rsid w:val="00BB7EA1"/>
    <w:rsid w:val="00BB7EDA"/>
    <w:rsid w:val="00BB7F81"/>
    <w:rsid w:val="00BC045B"/>
    <w:rsid w:val="00BC2059"/>
    <w:rsid w:val="00BC261E"/>
    <w:rsid w:val="00BC269B"/>
    <w:rsid w:val="00BC27D2"/>
    <w:rsid w:val="00BC299D"/>
    <w:rsid w:val="00BC44BA"/>
    <w:rsid w:val="00BC4D71"/>
    <w:rsid w:val="00BC5C65"/>
    <w:rsid w:val="00BC69D9"/>
    <w:rsid w:val="00BC6D0F"/>
    <w:rsid w:val="00BD085F"/>
    <w:rsid w:val="00BD35E1"/>
    <w:rsid w:val="00BD3A56"/>
    <w:rsid w:val="00BD54FC"/>
    <w:rsid w:val="00BD63C3"/>
    <w:rsid w:val="00BD67CE"/>
    <w:rsid w:val="00BD76A4"/>
    <w:rsid w:val="00BE0186"/>
    <w:rsid w:val="00BE1C8A"/>
    <w:rsid w:val="00BE2069"/>
    <w:rsid w:val="00BE22D7"/>
    <w:rsid w:val="00BE4857"/>
    <w:rsid w:val="00BE5847"/>
    <w:rsid w:val="00BE5BE0"/>
    <w:rsid w:val="00BE5D1D"/>
    <w:rsid w:val="00BE697B"/>
    <w:rsid w:val="00BE70E8"/>
    <w:rsid w:val="00BF0E76"/>
    <w:rsid w:val="00BF19DC"/>
    <w:rsid w:val="00BF2B3E"/>
    <w:rsid w:val="00BF2DAF"/>
    <w:rsid w:val="00BF2F39"/>
    <w:rsid w:val="00BF4E1B"/>
    <w:rsid w:val="00BF5AB9"/>
    <w:rsid w:val="00BF79A3"/>
    <w:rsid w:val="00BF7A36"/>
    <w:rsid w:val="00C01083"/>
    <w:rsid w:val="00C041D5"/>
    <w:rsid w:val="00C044F7"/>
    <w:rsid w:val="00C0480F"/>
    <w:rsid w:val="00C04C9A"/>
    <w:rsid w:val="00C04EF5"/>
    <w:rsid w:val="00C05E12"/>
    <w:rsid w:val="00C06A2F"/>
    <w:rsid w:val="00C1043C"/>
    <w:rsid w:val="00C10D90"/>
    <w:rsid w:val="00C12A51"/>
    <w:rsid w:val="00C12C65"/>
    <w:rsid w:val="00C12CD1"/>
    <w:rsid w:val="00C1591E"/>
    <w:rsid w:val="00C15EDD"/>
    <w:rsid w:val="00C173EE"/>
    <w:rsid w:val="00C20D36"/>
    <w:rsid w:val="00C21038"/>
    <w:rsid w:val="00C2286B"/>
    <w:rsid w:val="00C2396B"/>
    <w:rsid w:val="00C26865"/>
    <w:rsid w:val="00C26E4B"/>
    <w:rsid w:val="00C2785F"/>
    <w:rsid w:val="00C30BA6"/>
    <w:rsid w:val="00C31467"/>
    <w:rsid w:val="00C32E6D"/>
    <w:rsid w:val="00C33B06"/>
    <w:rsid w:val="00C33CB1"/>
    <w:rsid w:val="00C33F0C"/>
    <w:rsid w:val="00C34CCB"/>
    <w:rsid w:val="00C34D57"/>
    <w:rsid w:val="00C35515"/>
    <w:rsid w:val="00C35807"/>
    <w:rsid w:val="00C35A4B"/>
    <w:rsid w:val="00C36696"/>
    <w:rsid w:val="00C36720"/>
    <w:rsid w:val="00C36777"/>
    <w:rsid w:val="00C36FA8"/>
    <w:rsid w:val="00C37518"/>
    <w:rsid w:val="00C37F00"/>
    <w:rsid w:val="00C421C9"/>
    <w:rsid w:val="00C42A27"/>
    <w:rsid w:val="00C42A3A"/>
    <w:rsid w:val="00C42D47"/>
    <w:rsid w:val="00C437C6"/>
    <w:rsid w:val="00C4517F"/>
    <w:rsid w:val="00C45232"/>
    <w:rsid w:val="00C46646"/>
    <w:rsid w:val="00C46AA1"/>
    <w:rsid w:val="00C46E94"/>
    <w:rsid w:val="00C4704E"/>
    <w:rsid w:val="00C4713F"/>
    <w:rsid w:val="00C5090C"/>
    <w:rsid w:val="00C51509"/>
    <w:rsid w:val="00C52097"/>
    <w:rsid w:val="00C52BA5"/>
    <w:rsid w:val="00C52F47"/>
    <w:rsid w:val="00C53323"/>
    <w:rsid w:val="00C53F9A"/>
    <w:rsid w:val="00C5400B"/>
    <w:rsid w:val="00C54D8C"/>
    <w:rsid w:val="00C55296"/>
    <w:rsid w:val="00C55398"/>
    <w:rsid w:val="00C56828"/>
    <w:rsid w:val="00C56AF6"/>
    <w:rsid w:val="00C56F43"/>
    <w:rsid w:val="00C56F74"/>
    <w:rsid w:val="00C57493"/>
    <w:rsid w:val="00C605E6"/>
    <w:rsid w:val="00C64533"/>
    <w:rsid w:val="00C64693"/>
    <w:rsid w:val="00C64D07"/>
    <w:rsid w:val="00C66CEF"/>
    <w:rsid w:val="00C670FE"/>
    <w:rsid w:val="00C6758A"/>
    <w:rsid w:val="00C70DE0"/>
    <w:rsid w:val="00C71087"/>
    <w:rsid w:val="00C71E3C"/>
    <w:rsid w:val="00C73C17"/>
    <w:rsid w:val="00C75492"/>
    <w:rsid w:val="00C76F93"/>
    <w:rsid w:val="00C77037"/>
    <w:rsid w:val="00C77C78"/>
    <w:rsid w:val="00C8146C"/>
    <w:rsid w:val="00C8231E"/>
    <w:rsid w:val="00C846DD"/>
    <w:rsid w:val="00C85CA6"/>
    <w:rsid w:val="00C85E3F"/>
    <w:rsid w:val="00C8658F"/>
    <w:rsid w:val="00C873DA"/>
    <w:rsid w:val="00C90A7F"/>
    <w:rsid w:val="00C9147E"/>
    <w:rsid w:val="00C925ED"/>
    <w:rsid w:val="00C9339F"/>
    <w:rsid w:val="00C95976"/>
    <w:rsid w:val="00C96618"/>
    <w:rsid w:val="00C96A10"/>
    <w:rsid w:val="00C9753B"/>
    <w:rsid w:val="00CA0C87"/>
    <w:rsid w:val="00CA19CD"/>
    <w:rsid w:val="00CA1F28"/>
    <w:rsid w:val="00CA20F3"/>
    <w:rsid w:val="00CA2747"/>
    <w:rsid w:val="00CA2BE4"/>
    <w:rsid w:val="00CA4535"/>
    <w:rsid w:val="00CA4A62"/>
    <w:rsid w:val="00CA561E"/>
    <w:rsid w:val="00CA5B58"/>
    <w:rsid w:val="00CA659E"/>
    <w:rsid w:val="00CA6A39"/>
    <w:rsid w:val="00CA7DAD"/>
    <w:rsid w:val="00CB0E83"/>
    <w:rsid w:val="00CB23DD"/>
    <w:rsid w:val="00CB2757"/>
    <w:rsid w:val="00CB2FE7"/>
    <w:rsid w:val="00CB332F"/>
    <w:rsid w:val="00CB3B57"/>
    <w:rsid w:val="00CB42AE"/>
    <w:rsid w:val="00CB5100"/>
    <w:rsid w:val="00CB6768"/>
    <w:rsid w:val="00CB768F"/>
    <w:rsid w:val="00CC0848"/>
    <w:rsid w:val="00CC17DB"/>
    <w:rsid w:val="00CC20D5"/>
    <w:rsid w:val="00CC2CF9"/>
    <w:rsid w:val="00CC2F01"/>
    <w:rsid w:val="00CC5661"/>
    <w:rsid w:val="00CC586C"/>
    <w:rsid w:val="00CC5BCB"/>
    <w:rsid w:val="00CC6453"/>
    <w:rsid w:val="00CD2D8A"/>
    <w:rsid w:val="00CD31EA"/>
    <w:rsid w:val="00CD4B6F"/>
    <w:rsid w:val="00CD5817"/>
    <w:rsid w:val="00CD692F"/>
    <w:rsid w:val="00CE0392"/>
    <w:rsid w:val="00CE184D"/>
    <w:rsid w:val="00CE2303"/>
    <w:rsid w:val="00CE2604"/>
    <w:rsid w:val="00CE2A86"/>
    <w:rsid w:val="00CE34B8"/>
    <w:rsid w:val="00CE392B"/>
    <w:rsid w:val="00CE46E3"/>
    <w:rsid w:val="00CE5481"/>
    <w:rsid w:val="00CE5866"/>
    <w:rsid w:val="00CE7BDD"/>
    <w:rsid w:val="00CF003F"/>
    <w:rsid w:val="00CF0045"/>
    <w:rsid w:val="00CF019D"/>
    <w:rsid w:val="00CF0725"/>
    <w:rsid w:val="00CF7194"/>
    <w:rsid w:val="00CF744B"/>
    <w:rsid w:val="00CF74AE"/>
    <w:rsid w:val="00CF75E6"/>
    <w:rsid w:val="00CF7C90"/>
    <w:rsid w:val="00CF7EA0"/>
    <w:rsid w:val="00D00393"/>
    <w:rsid w:val="00D00600"/>
    <w:rsid w:val="00D00A29"/>
    <w:rsid w:val="00D02612"/>
    <w:rsid w:val="00D02F27"/>
    <w:rsid w:val="00D0329F"/>
    <w:rsid w:val="00D041D1"/>
    <w:rsid w:val="00D04372"/>
    <w:rsid w:val="00D04F9C"/>
    <w:rsid w:val="00D05DB1"/>
    <w:rsid w:val="00D06299"/>
    <w:rsid w:val="00D07781"/>
    <w:rsid w:val="00D1045D"/>
    <w:rsid w:val="00D133AA"/>
    <w:rsid w:val="00D13B0B"/>
    <w:rsid w:val="00D13CCF"/>
    <w:rsid w:val="00D14CF7"/>
    <w:rsid w:val="00D1576E"/>
    <w:rsid w:val="00D15943"/>
    <w:rsid w:val="00D15BBC"/>
    <w:rsid w:val="00D15E67"/>
    <w:rsid w:val="00D170C5"/>
    <w:rsid w:val="00D17767"/>
    <w:rsid w:val="00D17F09"/>
    <w:rsid w:val="00D2057B"/>
    <w:rsid w:val="00D20ABB"/>
    <w:rsid w:val="00D21F1D"/>
    <w:rsid w:val="00D24AEE"/>
    <w:rsid w:val="00D25315"/>
    <w:rsid w:val="00D26A33"/>
    <w:rsid w:val="00D27CA4"/>
    <w:rsid w:val="00D3073E"/>
    <w:rsid w:val="00D30EC2"/>
    <w:rsid w:val="00D31676"/>
    <w:rsid w:val="00D316C8"/>
    <w:rsid w:val="00D337D5"/>
    <w:rsid w:val="00D33FB9"/>
    <w:rsid w:val="00D34817"/>
    <w:rsid w:val="00D3504E"/>
    <w:rsid w:val="00D35EA0"/>
    <w:rsid w:val="00D365BB"/>
    <w:rsid w:val="00D36F8C"/>
    <w:rsid w:val="00D3795A"/>
    <w:rsid w:val="00D37AB5"/>
    <w:rsid w:val="00D404D9"/>
    <w:rsid w:val="00D40C74"/>
    <w:rsid w:val="00D43282"/>
    <w:rsid w:val="00D43EA4"/>
    <w:rsid w:val="00D43EAD"/>
    <w:rsid w:val="00D44508"/>
    <w:rsid w:val="00D44776"/>
    <w:rsid w:val="00D476E4"/>
    <w:rsid w:val="00D47810"/>
    <w:rsid w:val="00D50FB8"/>
    <w:rsid w:val="00D5128E"/>
    <w:rsid w:val="00D52FD0"/>
    <w:rsid w:val="00D535E4"/>
    <w:rsid w:val="00D53C9E"/>
    <w:rsid w:val="00D53D9D"/>
    <w:rsid w:val="00D54385"/>
    <w:rsid w:val="00D606D9"/>
    <w:rsid w:val="00D61591"/>
    <w:rsid w:val="00D6259C"/>
    <w:rsid w:val="00D63630"/>
    <w:rsid w:val="00D63B91"/>
    <w:rsid w:val="00D6475F"/>
    <w:rsid w:val="00D64A4A"/>
    <w:rsid w:val="00D657C5"/>
    <w:rsid w:val="00D659F7"/>
    <w:rsid w:val="00D6679C"/>
    <w:rsid w:val="00D66B09"/>
    <w:rsid w:val="00D67C3D"/>
    <w:rsid w:val="00D72F5D"/>
    <w:rsid w:val="00D7309F"/>
    <w:rsid w:val="00D7370C"/>
    <w:rsid w:val="00D73EE6"/>
    <w:rsid w:val="00D742D2"/>
    <w:rsid w:val="00D744DC"/>
    <w:rsid w:val="00D74556"/>
    <w:rsid w:val="00D75312"/>
    <w:rsid w:val="00D7552E"/>
    <w:rsid w:val="00D75CF7"/>
    <w:rsid w:val="00D75F59"/>
    <w:rsid w:val="00D776C3"/>
    <w:rsid w:val="00D80153"/>
    <w:rsid w:val="00D814BC"/>
    <w:rsid w:val="00D81AC7"/>
    <w:rsid w:val="00D83E45"/>
    <w:rsid w:val="00D842C5"/>
    <w:rsid w:val="00D842CD"/>
    <w:rsid w:val="00D8495C"/>
    <w:rsid w:val="00D86737"/>
    <w:rsid w:val="00D8696A"/>
    <w:rsid w:val="00D8791C"/>
    <w:rsid w:val="00D90419"/>
    <w:rsid w:val="00D90551"/>
    <w:rsid w:val="00D90F5A"/>
    <w:rsid w:val="00D9153B"/>
    <w:rsid w:val="00D9160A"/>
    <w:rsid w:val="00D9193A"/>
    <w:rsid w:val="00D95903"/>
    <w:rsid w:val="00D95D78"/>
    <w:rsid w:val="00DA0810"/>
    <w:rsid w:val="00DA12D6"/>
    <w:rsid w:val="00DA37B7"/>
    <w:rsid w:val="00DA3FCE"/>
    <w:rsid w:val="00DA4B42"/>
    <w:rsid w:val="00DA57DA"/>
    <w:rsid w:val="00DA7865"/>
    <w:rsid w:val="00DB0673"/>
    <w:rsid w:val="00DB2BE7"/>
    <w:rsid w:val="00DB40EF"/>
    <w:rsid w:val="00DB4203"/>
    <w:rsid w:val="00DB428C"/>
    <w:rsid w:val="00DB6B88"/>
    <w:rsid w:val="00DB6CCB"/>
    <w:rsid w:val="00DB7CA1"/>
    <w:rsid w:val="00DB7EA2"/>
    <w:rsid w:val="00DC094F"/>
    <w:rsid w:val="00DC24B5"/>
    <w:rsid w:val="00DC25DA"/>
    <w:rsid w:val="00DC410C"/>
    <w:rsid w:val="00DC4325"/>
    <w:rsid w:val="00DC4915"/>
    <w:rsid w:val="00DC4C59"/>
    <w:rsid w:val="00DC5149"/>
    <w:rsid w:val="00DC5B77"/>
    <w:rsid w:val="00DC5D9A"/>
    <w:rsid w:val="00DC68E1"/>
    <w:rsid w:val="00DC7FCE"/>
    <w:rsid w:val="00DD0452"/>
    <w:rsid w:val="00DD1663"/>
    <w:rsid w:val="00DD1B88"/>
    <w:rsid w:val="00DD334C"/>
    <w:rsid w:val="00DD34F8"/>
    <w:rsid w:val="00DD3C08"/>
    <w:rsid w:val="00DD3C53"/>
    <w:rsid w:val="00DE0476"/>
    <w:rsid w:val="00DE1189"/>
    <w:rsid w:val="00DE1B2F"/>
    <w:rsid w:val="00DE1C5A"/>
    <w:rsid w:val="00DE2AAC"/>
    <w:rsid w:val="00DE3889"/>
    <w:rsid w:val="00DE5E04"/>
    <w:rsid w:val="00DE6634"/>
    <w:rsid w:val="00DE7872"/>
    <w:rsid w:val="00DF045F"/>
    <w:rsid w:val="00DF1125"/>
    <w:rsid w:val="00DF2088"/>
    <w:rsid w:val="00DF22E5"/>
    <w:rsid w:val="00DF27AC"/>
    <w:rsid w:val="00DF28E7"/>
    <w:rsid w:val="00DF2FD1"/>
    <w:rsid w:val="00DF3441"/>
    <w:rsid w:val="00DF399A"/>
    <w:rsid w:val="00DF39FB"/>
    <w:rsid w:val="00DF447B"/>
    <w:rsid w:val="00DF4DCA"/>
    <w:rsid w:val="00DF6280"/>
    <w:rsid w:val="00DF7B14"/>
    <w:rsid w:val="00DF7B16"/>
    <w:rsid w:val="00E00009"/>
    <w:rsid w:val="00E01EF4"/>
    <w:rsid w:val="00E022B9"/>
    <w:rsid w:val="00E02A90"/>
    <w:rsid w:val="00E02CF2"/>
    <w:rsid w:val="00E035EE"/>
    <w:rsid w:val="00E04947"/>
    <w:rsid w:val="00E064D9"/>
    <w:rsid w:val="00E069F7"/>
    <w:rsid w:val="00E06C35"/>
    <w:rsid w:val="00E0710D"/>
    <w:rsid w:val="00E07F71"/>
    <w:rsid w:val="00E101C6"/>
    <w:rsid w:val="00E10317"/>
    <w:rsid w:val="00E10658"/>
    <w:rsid w:val="00E114D8"/>
    <w:rsid w:val="00E116ED"/>
    <w:rsid w:val="00E1256E"/>
    <w:rsid w:val="00E1347F"/>
    <w:rsid w:val="00E1621B"/>
    <w:rsid w:val="00E16BC4"/>
    <w:rsid w:val="00E21114"/>
    <w:rsid w:val="00E22B84"/>
    <w:rsid w:val="00E25363"/>
    <w:rsid w:val="00E25E8A"/>
    <w:rsid w:val="00E26045"/>
    <w:rsid w:val="00E26BDB"/>
    <w:rsid w:val="00E26DF9"/>
    <w:rsid w:val="00E27298"/>
    <w:rsid w:val="00E27304"/>
    <w:rsid w:val="00E304D5"/>
    <w:rsid w:val="00E30CC7"/>
    <w:rsid w:val="00E33084"/>
    <w:rsid w:val="00E337F5"/>
    <w:rsid w:val="00E339E4"/>
    <w:rsid w:val="00E34EBC"/>
    <w:rsid w:val="00E3529F"/>
    <w:rsid w:val="00E352D0"/>
    <w:rsid w:val="00E37211"/>
    <w:rsid w:val="00E37848"/>
    <w:rsid w:val="00E4034D"/>
    <w:rsid w:val="00E404B3"/>
    <w:rsid w:val="00E41EE7"/>
    <w:rsid w:val="00E42084"/>
    <w:rsid w:val="00E44854"/>
    <w:rsid w:val="00E4540D"/>
    <w:rsid w:val="00E46CA7"/>
    <w:rsid w:val="00E47C56"/>
    <w:rsid w:val="00E50B82"/>
    <w:rsid w:val="00E5135E"/>
    <w:rsid w:val="00E51630"/>
    <w:rsid w:val="00E542AD"/>
    <w:rsid w:val="00E543FB"/>
    <w:rsid w:val="00E552CC"/>
    <w:rsid w:val="00E55808"/>
    <w:rsid w:val="00E559EA"/>
    <w:rsid w:val="00E55EFC"/>
    <w:rsid w:val="00E5696D"/>
    <w:rsid w:val="00E56C91"/>
    <w:rsid w:val="00E56E45"/>
    <w:rsid w:val="00E60FA5"/>
    <w:rsid w:val="00E6161C"/>
    <w:rsid w:val="00E62DEC"/>
    <w:rsid w:val="00E63233"/>
    <w:rsid w:val="00E63FE6"/>
    <w:rsid w:val="00E65960"/>
    <w:rsid w:val="00E65F8A"/>
    <w:rsid w:val="00E66ECB"/>
    <w:rsid w:val="00E67486"/>
    <w:rsid w:val="00E7055E"/>
    <w:rsid w:val="00E71139"/>
    <w:rsid w:val="00E727CE"/>
    <w:rsid w:val="00E73D84"/>
    <w:rsid w:val="00E742A6"/>
    <w:rsid w:val="00E749E1"/>
    <w:rsid w:val="00E8007A"/>
    <w:rsid w:val="00E803C0"/>
    <w:rsid w:val="00E80578"/>
    <w:rsid w:val="00E80B43"/>
    <w:rsid w:val="00E82872"/>
    <w:rsid w:val="00E833CB"/>
    <w:rsid w:val="00E83995"/>
    <w:rsid w:val="00E83CBA"/>
    <w:rsid w:val="00E83D2E"/>
    <w:rsid w:val="00E83FB2"/>
    <w:rsid w:val="00E844D4"/>
    <w:rsid w:val="00E85FEA"/>
    <w:rsid w:val="00E90615"/>
    <w:rsid w:val="00E916E6"/>
    <w:rsid w:val="00E91FE0"/>
    <w:rsid w:val="00E95AC2"/>
    <w:rsid w:val="00E97167"/>
    <w:rsid w:val="00E97787"/>
    <w:rsid w:val="00E97DBB"/>
    <w:rsid w:val="00EA0169"/>
    <w:rsid w:val="00EA093A"/>
    <w:rsid w:val="00EA3781"/>
    <w:rsid w:val="00EA4040"/>
    <w:rsid w:val="00EA5017"/>
    <w:rsid w:val="00EA5023"/>
    <w:rsid w:val="00EA7061"/>
    <w:rsid w:val="00EA74ED"/>
    <w:rsid w:val="00EA7C5B"/>
    <w:rsid w:val="00EB13FE"/>
    <w:rsid w:val="00EB2379"/>
    <w:rsid w:val="00EB254B"/>
    <w:rsid w:val="00EB25FC"/>
    <w:rsid w:val="00EB2A8B"/>
    <w:rsid w:val="00EB39F1"/>
    <w:rsid w:val="00EB3F53"/>
    <w:rsid w:val="00EB460F"/>
    <w:rsid w:val="00EB472E"/>
    <w:rsid w:val="00EB5434"/>
    <w:rsid w:val="00EB5D6C"/>
    <w:rsid w:val="00EB6A9B"/>
    <w:rsid w:val="00EB76D6"/>
    <w:rsid w:val="00EB7770"/>
    <w:rsid w:val="00EC004C"/>
    <w:rsid w:val="00EC0178"/>
    <w:rsid w:val="00EC049F"/>
    <w:rsid w:val="00EC11E3"/>
    <w:rsid w:val="00EC12B4"/>
    <w:rsid w:val="00EC2011"/>
    <w:rsid w:val="00ED024E"/>
    <w:rsid w:val="00ED0615"/>
    <w:rsid w:val="00ED194C"/>
    <w:rsid w:val="00ED2C26"/>
    <w:rsid w:val="00ED3898"/>
    <w:rsid w:val="00ED38BF"/>
    <w:rsid w:val="00ED5DB2"/>
    <w:rsid w:val="00ED5EC2"/>
    <w:rsid w:val="00EE009D"/>
    <w:rsid w:val="00EE0A9C"/>
    <w:rsid w:val="00EE0DF2"/>
    <w:rsid w:val="00EE1124"/>
    <w:rsid w:val="00EE21DD"/>
    <w:rsid w:val="00EE4131"/>
    <w:rsid w:val="00EE56DF"/>
    <w:rsid w:val="00EE587F"/>
    <w:rsid w:val="00EE5ED7"/>
    <w:rsid w:val="00EE64CC"/>
    <w:rsid w:val="00EE6D6B"/>
    <w:rsid w:val="00EE70C7"/>
    <w:rsid w:val="00EE75C5"/>
    <w:rsid w:val="00EF1A24"/>
    <w:rsid w:val="00EF1BF1"/>
    <w:rsid w:val="00EF35FC"/>
    <w:rsid w:val="00EF5716"/>
    <w:rsid w:val="00EF71E1"/>
    <w:rsid w:val="00F003B9"/>
    <w:rsid w:val="00F01BD5"/>
    <w:rsid w:val="00F024E3"/>
    <w:rsid w:val="00F0264E"/>
    <w:rsid w:val="00F02815"/>
    <w:rsid w:val="00F041B2"/>
    <w:rsid w:val="00F0505F"/>
    <w:rsid w:val="00F05EAF"/>
    <w:rsid w:val="00F0656F"/>
    <w:rsid w:val="00F069F3"/>
    <w:rsid w:val="00F06D7C"/>
    <w:rsid w:val="00F079F3"/>
    <w:rsid w:val="00F1049D"/>
    <w:rsid w:val="00F119F0"/>
    <w:rsid w:val="00F147FD"/>
    <w:rsid w:val="00F1559F"/>
    <w:rsid w:val="00F15C8C"/>
    <w:rsid w:val="00F15FC1"/>
    <w:rsid w:val="00F166CE"/>
    <w:rsid w:val="00F16D07"/>
    <w:rsid w:val="00F17762"/>
    <w:rsid w:val="00F22BC7"/>
    <w:rsid w:val="00F23C5A"/>
    <w:rsid w:val="00F23E91"/>
    <w:rsid w:val="00F24F77"/>
    <w:rsid w:val="00F261BC"/>
    <w:rsid w:val="00F277D4"/>
    <w:rsid w:val="00F30466"/>
    <w:rsid w:val="00F30A70"/>
    <w:rsid w:val="00F31079"/>
    <w:rsid w:val="00F31104"/>
    <w:rsid w:val="00F31D17"/>
    <w:rsid w:val="00F33E65"/>
    <w:rsid w:val="00F34E93"/>
    <w:rsid w:val="00F358F0"/>
    <w:rsid w:val="00F43F5A"/>
    <w:rsid w:val="00F44511"/>
    <w:rsid w:val="00F4474B"/>
    <w:rsid w:val="00F44FCF"/>
    <w:rsid w:val="00F45197"/>
    <w:rsid w:val="00F45708"/>
    <w:rsid w:val="00F475FD"/>
    <w:rsid w:val="00F5097D"/>
    <w:rsid w:val="00F513E5"/>
    <w:rsid w:val="00F5219B"/>
    <w:rsid w:val="00F527A6"/>
    <w:rsid w:val="00F53138"/>
    <w:rsid w:val="00F534C0"/>
    <w:rsid w:val="00F54930"/>
    <w:rsid w:val="00F5523B"/>
    <w:rsid w:val="00F561ED"/>
    <w:rsid w:val="00F57FBE"/>
    <w:rsid w:val="00F623B6"/>
    <w:rsid w:val="00F6280F"/>
    <w:rsid w:val="00F62819"/>
    <w:rsid w:val="00F6394B"/>
    <w:rsid w:val="00F642FE"/>
    <w:rsid w:val="00F6481F"/>
    <w:rsid w:val="00F65BD0"/>
    <w:rsid w:val="00F660D6"/>
    <w:rsid w:val="00F6653B"/>
    <w:rsid w:val="00F67170"/>
    <w:rsid w:val="00F67B1D"/>
    <w:rsid w:val="00F708D9"/>
    <w:rsid w:val="00F70F76"/>
    <w:rsid w:val="00F720FB"/>
    <w:rsid w:val="00F721C2"/>
    <w:rsid w:val="00F73DFB"/>
    <w:rsid w:val="00F80602"/>
    <w:rsid w:val="00F81376"/>
    <w:rsid w:val="00F814DF"/>
    <w:rsid w:val="00F81E48"/>
    <w:rsid w:val="00F83AF1"/>
    <w:rsid w:val="00F8489E"/>
    <w:rsid w:val="00F84C20"/>
    <w:rsid w:val="00F85D2B"/>
    <w:rsid w:val="00F87614"/>
    <w:rsid w:val="00F87F8F"/>
    <w:rsid w:val="00F91FFB"/>
    <w:rsid w:val="00F92112"/>
    <w:rsid w:val="00F9230A"/>
    <w:rsid w:val="00F92366"/>
    <w:rsid w:val="00F92753"/>
    <w:rsid w:val="00F9598E"/>
    <w:rsid w:val="00F96B32"/>
    <w:rsid w:val="00F9735A"/>
    <w:rsid w:val="00FA0250"/>
    <w:rsid w:val="00FA42F4"/>
    <w:rsid w:val="00FA4EBA"/>
    <w:rsid w:val="00FA6502"/>
    <w:rsid w:val="00FA6AFC"/>
    <w:rsid w:val="00FA7B72"/>
    <w:rsid w:val="00FB0139"/>
    <w:rsid w:val="00FB0730"/>
    <w:rsid w:val="00FB0BC1"/>
    <w:rsid w:val="00FB14A0"/>
    <w:rsid w:val="00FB34A3"/>
    <w:rsid w:val="00FB3EF1"/>
    <w:rsid w:val="00FB4E4A"/>
    <w:rsid w:val="00FB6D3A"/>
    <w:rsid w:val="00FB760E"/>
    <w:rsid w:val="00FB7924"/>
    <w:rsid w:val="00FB7B83"/>
    <w:rsid w:val="00FB7F35"/>
    <w:rsid w:val="00FC11D6"/>
    <w:rsid w:val="00FC48DD"/>
    <w:rsid w:val="00FC569E"/>
    <w:rsid w:val="00FC67E5"/>
    <w:rsid w:val="00FC6BFF"/>
    <w:rsid w:val="00FC7B5F"/>
    <w:rsid w:val="00FD04EB"/>
    <w:rsid w:val="00FD1036"/>
    <w:rsid w:val="00FD1062"/>
    <w:rsid w:val="00FD131D"/>
    <w:rsid w:val="00FD1865"/>
    <w:rsid w:val="00FD1BE6"/>
    <w:rsid w:val="00FD3049"/>
    <w:rsid w:val="00FD3151"/>
    <w:rsid w:val="00FD5177"/>
    <w:rsid w:val="00FD5398"/>
    <w:rsid w:val="00FD6A47"/>
    <w:rsid w:val="00FE0E12"/>
    <w:rsid w:val="00FE35E1"/>
    <w:rsid w:val="00FE3AFC"/>
    <w:rsid w:val="00FE4D5E"/>
    <w:rsid w:val="00FE6D86"/>
    <w:rsid w:val="00FE7385"/>
    <w:rsid w:val="00FE7FB0"/>
    <w:rsid w:val="00FF0DA7"/>
    <w:rsid w:val="00FF252B"/>
    <w:rsid w:val="00FF290C"/>
    <w:rsid w:val="00FF3276"/>
    <w:rsid w:val="00FF4397"/>
    <w:rsid w:val="00FF50BA"/>
    <w:rsid w:val="00FF5B26"/>
    <w:rsid w:val="00FF69CB"/>
    <w:rsid w:val="00FF7D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40D39D"/>
  <w15:docId w15:val="{968918DC-DBDC-430F-8C5E-64FA706A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3">
    <w:name w:val="heading 3"/>
    <w:basedOn w:val="Normal"/>
    <w:next w:val="Normal"/>
    <w:link w:val="Heading3Char"/>
    <w:semiHidden/>
    <w:unhideWhenUsed/>
    <w:qFormat/>
    <w:locked/>
    <w:rsid w:val="00974AA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single space,footnote text,Fodnotetekst Tegn,fn,ALTS FOOTNOTE,FOOTNOTES,Texte de note de bas de page,Fußnotentext arial,Footnote Text Char Char Char Char Char Char,WB-Fußnotentext,Fußnote,ADB,Char,Footnote Text Char Char Char,ft Char"/>
    <w:basedOn w:val="Normal"/>
    <w:link w:val="FootnoteTextChar"/>
    <w:uiPriority w:val="99"/>
    <w:qFormat/>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ftref,16 Point,Superscript 6 Point,BVI fnr Char Char Char Char,BVI fnr Car Car Char Char Char Char,BVI fnr Car Char Char Char Char,BVI fnr Car Car Car Car Char Char Char1 Char Char,BVI fnr Char Char Char Char Char,R,BVI fnr"/>
    <w:link w:val="Char2"/>
    <w:qFormat/>
    <w:rsid w:val="00D9153B"/>
    <w:rPr>
      <w:rFonts w:cs="Times New Roman"/>
      <w:vertAlign w:val="superscript"/>
    </w:rPr>
  </w:style>
  <w:style w:type="paragraph" w:styleId="Footer">
    <w:name w:val="footer"/>
    <w:basedOn w:val="Normal"/>
    <w:link w:val="FooterChar"/>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Table/Figure Heading,Lapis Bulleted List,Dot pt,F5 List Paragraph,List Paragraph1,No Spacing1,List Paragraph Char Char Char,Indicator Text,Numbered Para 1,Bullet 1,List Paragraph12,Bullet Points,WB Para"/>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single space Char,footnote text Char,Fodnotetekst Tegn Char,fn Char,ALTS FOOTNOTE Char,FOOTNOTES Char,Texte de note de bas de page Char,Fußnotentext arial Char,Footnote Text Char Char Char Char Char Char Char,WB-Fußnotentext Char"/>
    <w:basedOn w:val="DefaultParagraphFont"/>
    <w:link w:val="FootnoteText"/>
    <w:uiPriority w:val="99"/>
    <w:rsid w:val="00D6679C"/>
    <w:rPr>
      <w:rFonts w:ascii="Courier" w:hAnsi="Courier"/>
      <w:lang w:val="en-US" w:eastAsia="en-US"/>
    </w:rPr>
  </w:style>
  <w:style w:type="character" w:customStyle="1" w:styleId="ListParagraphChar">
    <w:name w:val="List Paragraph Char"/>
    <w:aliases w:val="List Paragraph (numbered (a)) Char,Table/Figure Heading Char,Lapis Bulleted List Char,Dot pt Char,F5 List Paragraph Char,List Paragraph1 Char,No Spacing1 Char,List Paragraph Char Char Char Char,Indicator Text Char,Bullet 1 Char"/>
    <w:link w:val="ListParagraph"/>
    <w:uiPriority w:val="34"/>
    <w:qFormat/>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character" w:styleId="UnresolvedMention">
    <w:name w:val="Unresolved Mention"/>
    <w:basedOn w:val="DefaultParagraphFont"/>
    <w:uiPriority w:val="99"/>
    <w:semiHidden/>
    <w:unhideWhenUsed/>
    <w:rsid w:val="00523B73"/>
    <w:rPr>
      <w:color w:val="605E5C"/>
      <w:shd w:val="clear" w:color="auto" w:fill="E1DFDD"/>
    </w:rPr>
  </w:style>
  <w:style w:type="paragraph" w:customStyle="1" w:styleId="Char2">
    <w:name w:val="Char2"/>
    <w:basedOn w:val="Normal"/>
    <w:link w:val="FootnoteReference"/>
    <w:uiPriority w:val="99"/>
    <w:rsid w:val="00C33B06"/>
    <w:pPr>
      <w:spacing w:after="160" w:line="240" w:lineRule="exact"/>
      <w:jc w:val="both"/>
    </w:pPr>
    <w:rPr>
      <w:vertAlign w:val="superscript"/>
      <w:lang w:val="en-GB" w:eastAsia="en-GB"/>
    </w:rPr>
  </w:style>
  <w:style w:type="paragraph" w:styleId="NormalWeb">
    <w:name w:val="Normal (Web)"/>
    <w:basedOn w:val="Normal"/>
    <w:uiPriority w:val="99"/>
    <w:unhideWhenUsed/>
    <w:rsid w:val="002156BB"/>
    <w:pPr>
      <w:spacing w:before="100" w:beforeAutospacing="1" w:after="100" w:afterAutospacing="1"/>
    </w:pPr>
    <w:rPr>
      <w:sz w:val="24"/>
      <w:szCs w:val="24"/>
      <w:lang w:val="en-ZW" w:eastAsia="en-GB"/>
    </w:rPr>
  </w:style>
  <w:style w:type="table" w:styleId="GridTable4-Accent1">
    <w:name w:val="Grid Table 4 Accent 1"/>
    <w:basedOn w:val="TableNormal"/>
    <w:uiPriority w:val="49"/>
    <w:rsid w:val="00D17F0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D17F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977B11"/>
    <w:pPr>
      <w:spacing w:before="100" w:beforeAutospacing="1" w:after="100" w:afterAutospacing="1"/>
    </w:pPr>
    <w:rPr>
      <w:sz w:val="24"/>
      <w:szCs w:val="24"/>
      <w:lang w:val="en-GB" w:eastAsia="en-GB"/>
    </w:rPr>
  </w:style>
  <w:style w:type="character" w:customStyle="1" w:styleId="cf01">
    <w:name w:val="cf01"/>
    <w:basedOn w:val="DefaultParagraphFont"/>
    <w:rsid w:val="00287914"/>
    <w:rPr>
      <w:rFonts w:ascii="Segoe UI" w:hAnsi="Segoe UI" w:cs="Segoe UI" w:hint="default"/>
      <w:sz w:val="18"/>
      <w:szCs w:val="18"/>
    </w:rPr>
  </w:style>
  <w:style w:type="character" w:customStyle="1" w:styleId="Heading3Char">
    <w:name w:val="Heading 3 Char"/>
    <w:basedOn w:val="DefaultParagraphFont"/>
    <w:link w:val="Heading3"/>
    <w:semiHidden/>
    <w:rsid w:val="00974AA7"/>
    <w:rPr>
      <w:rFonts w:asciiTheme="majorHAnsi" w:eastAsiaTheme="majorEastAsia" w:hAnsiTheme="majorHAnsi" w:cstheme="majorBidi"/>
      <w:color w:val="243F60" w:themeColor="accent1" w:themeShade="7F"/>
      <w:sz w:val="24"/>
      <w:szCs w:val="24"/>
      <w:lang w:val="en-US" w:eastAsia="en-US"/>
    </w:rPr>
  </w:style>
  <w:style w:type="character" w:customStyle="1" w:styleId="UnresolvedMention1">
    <w:name w:val="Unresolved Mention1"/>
    <w:basedOn w:val="DefaultParagraphFont"/>
    <w:uiPriority w:val="99"/>
    <w:semiHidden/>
    <w:unhideWhenUsed/>
    <w:rsid w:val="00974AA7"/>
    <w:rPr>
      <w:color w:val="605E5C"/>
      <w:shd w:val="clear" w:color="auto" w:fill="E1DFDD"/>
    </w:rPr>
  </w:style>
  <w:style w:type="character" w:styleId="Mention">
    <w:name w:val="Mention"/>
    <w:basedOn w:val="DefaultParagraphFont"/>
    <w:uiPriority w:val="99"/>
    <w:unhideWhenUsed/>
    <w:rsid w:val="00974AA7"/>
    <w:rPr>
      <w:color w:val="2B579A"/>
      <w:shd w:val="clear" w:color="auto" w:fill="E6E6E6"/>
    </w:rPr>
  </w:style>
  <w:style w:type="character" w:customStyle="1" w:styleId="Heading4Char">
    <w:name w:val="Heading 4 Char"/>
    <w:basedOn w:val="DefaultParagraphFont"/>
    <w:link w:val="Heading4"/>
    <w:rsid w:val="00974AA7"/>
    <w:rPr>
      <w:rFonts w:ascii="Arial" w:hAnsi="Arial"/>
      <w:b/>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891964460">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405832698">
      <w:bodyDiv w:val="1"/>
      <w:marLeft w:val="0"/>
      <w:marRight w:val="0"/>
      <w:marTop w:val="0"/>
      <w:marBottom w:val="0"/>
      <w:divBdr>
        <w:top w:val="none" w:sz="0" w:space="0" w:color="auto"/>
        <w:left w:val="none" w:sz="0" w:space="0" w:color="auto"/>
        <w:bottom w:val="none" w:sz="0" w:space="0" w:color="auto"/>
        <w:right w:val="none" w:sz="0" w:space="0" w:color="auto"/>
      </w:divBdr>
    </w:div>
    <w:div w:id="1775513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UNITOFFICE-440-2260</_dlc_DocId>
    <_dlc_DocIdUrl xmlns="5ebeba3d-fd60-4dcb-8548-a9fd3c51d9ff">
      <Url>https://intranet.undp.org/unit/office/exo/sp2014/SP201417/_layouts/15/DocIdRedir.aspx?ID=UNITOFFICE-440-2260</Url>
      <Description>UNITOFFICE-440-2260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422cd661a7fd286c2c6c482de215dd65">
  <xsd:schema xmlns:xsd="http://www.w3.org/2001/XMLSchema" xmlns:xs="http://www.w3.org/2001/XMLSchema" xmlns:p="http://schemas.microsoft.com/office/2006/metadata/properties" xmlns:ns2="5ebeba3d-fd60-4dcb-8548-a9fd3c51d9ff" targetNamespace="http://schemas.microsoft.com/office/2006/metadata/properties" ma:root="true" ma:fieldsID="3ea964148df72575aa99416149104b54"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5ebeba3d-fd60-4dcb-8548-a9fd3c51d9ff"/>
  </ds:schemaRefs>
</ds:datastoreItem>
</file>

<file path=customXml/itemProps2.xml><?xml version="1.0" encoding="utf-8"?>
<ds:datastoreItem xmlns:ds="http://schemas.openxmlformats.org/officeDocument/2006/customXml" ds:itemID="{1AAABAED-BA44-4E77-8C93-B400AA3B3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25299-70F4-444F-B236-44270C4DFCA3}">
  <ds:schemaRefs>
    <ds:schemaRef ds:uri="http://schemas.microsoft.com/sharepoint/events"/>
  </ds:schemaRefs>
</ds:datastoreItem>
</file>

<file path=customXml/itemProps4.xml><?xml version="1.0" encoding="utf-8"?>
<ds:datastoreItem xmlns:ds="http://schemas.openxmlformats.org/officeDocument/2006/customXml" ds:itemID="{11D33306-29E9-411A-847B-F501ECEE3EBD}">
  <ds:schemaRefs>
    <ds:schemaRef ds:uri="http://schemas.openxmlformats.org/officeDocument/2006/bibliography"/>
  </ds:schemaRefs>
</ds:datastoreItem>
</file>

<file path=customXml/itemProps5.xml><?xml version="1.0" encoding="utf-8"?>
<ds:datastoreItem xmlns:ds="http://schemas.openxmlformats.org/officeDocument/2006/customXml" ds:itemID="{3D1B8F7B-BA39-44ED-8DCD-42BF9FAEB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6097</Words>
  <Characters>34754</Characters>
  <Application>Microsoft Office Word</Application>
  <DocSecurity>0</DocSecurity>
  <Lines>289</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Second/First/Annual session of (year)</vt:lpstr>
      <vt:lpstr>Second/First/Annual session of (year)</vt:lpstr>
    </vt:vector>
  </TitlesOfParts>
  <Company>Microsoft</Company>
  <LinksUpToDate>false</LinksUpToDate>
  <CharactersWithSpaces>40770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John Magoha</dc:creator>
  <cp:keywords/>
  <dc:description/>
  <cp:lastModifiedBy>Gio Emma Apruzzese</cp:lastModifiedBy>
  <cp:revision>12</cp:revision>
  <cp:lastPrinted>2014-09-17T01:01:00Z</cp:lastPrinted>
  <dcterms:created xsi:type="dcterms:W3CDTF">2023-05-30T06:45:00Z</dcterms:created>
  <dcterms:modified xsi:type="dcterms:W3CDTF">2023-06-29T18:01:00Z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19972b41-cb75-4480-a2b1-0ce0bb25c0bd</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